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CURSO DE FORMACIÓN GENERAL</w:t>
      </w:r>
    </w:p>
    <w:p w:rsidR="00000000" w:rsidDel="00000000" w:rsidP="00000000" w:rsidRDefault="00000000" w:rsidRPr="00000000" w14:paraId="00000003">
      <w:pPr>
        <w:jc w:val="center"/>
        <w:rPr>
          <w:b w:val="1"/>
        </w:rPr>
      </w:pPr>
      <w:r w:rsidDel="00000000" w:rsidR="00000000" w:rsidRPr="00000000">
        <w:rPr>
          <w:b w:val="1"/>
          <w:rtl w:val="0"/>
        </w:rPr>
        <w:t xml:space="preserve">MUSEOS UNIVERSITARIOS ACCESIBLES: EXPLORANDO LA ACCESIBILIDAD DE LOS MUSEOS DE LA UNIVERSIDAD DE CHILE</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jc w:val="right"/>
        <w:rPr>
          <w:sz w:val="20"/>
          <w:szCs w:val="20"/>
        </w:rPr>
      </w:pPr>
      <w:r w:rsidDel="00000000" w:rsidR="00000000" w:rsidRPr="00000000">
        <w:rPr>
          <w:sz w:val="20"/>
          <w:szCs w:val="20"/>
          <w:rtl w:val="0"/>
        </w:rPr>
        <w:t xml:space="preserve">Nazareth Torres</w:t>
      </w:r>
    </w:p>
    <w:p w:rsidR="00000000" w:rsidDel="00000000" w:rsidP="00000000" w:rsidRDefault="00000000" w:rsidRPr="00000000" w14:paraId="00000006">
      <w:pPr>
        <w:jc w:val="right"/>
        <w:rPr>
          <w:sz w:val="20"/>
          <w:szCs w:val="20"/>
        </w:rPr>
      </w:pPr>
      <w:r w:rsidDel="00000000" w:rsidR="00000000" w:rsidRPr="00000000">
        <w:rPr>
          <w:sz w:val="20"/>
          <w:szCs w:val="20"/>
          <w:rtl w:val="0"/>
        </w:rPr>
        <w:t xml:space="preserve">Daniel Larenas</w:t>
      </w:r>
    </w:p>
    <w:p w:rsidR="00000000" w:rsidDel="00000000" w:rsidP="00000000" w:rsidRDefault="00000000" w:rsidRPr="00000000" w14:paraId="00000007">
      <w:pPr>
        <w:jc w:val="right"/>
        <w:rPr>
          <w:sz w:val="20"/>
          <w:szCs w:val="20"/>
        </w:rPr>
      </w:pPr>
      <w:r w:rsidDel="00000000" w:rsidR="00000000" w:rsidRPr="00000000">
        <w:rPr>
          <w:sz w:val="20"/>
          <w:szCs w:val="20"/>
          <w:rtl w:val="0"/>
        </w:rPr>
        <w:t xml:space="preserve">Andrés Rosa</w:t>
      </w:r>
    </w:p>
    <w:p w:rsidR="00000000" w:rsidDel="00000000" w:rsidP="00000000" w:rsidRDefault="00000000" w:rsidRPr="00000000" w14:paraId="00000008">
      <w:pPr>
        <w:jc w:val="center"/>
        <w:rPr>
          <w:u w:val="single"/>
        </w:rPr>
      </w:pPr>
      <w:r w:rsidDel="00000000" w:rsidR="00000000" w:rsidRPr="00000000">
        <w:rPr>
          <w:rtl w:val="0"/>
        </w:rPr>
      </w:r>
    </w:p>
    <w:p w:rsidR="00000000" w:rsidDel="00000000" w:rsidP="00000000" w:rsidRDefault="00000000" w:rsidRPr="00000000" w14:paraId="00000009">
      <w:pPr>
        <w:jc w:val="center"/>
        <w:rPr>
          <w:u w:val="single"/>
        </w:rPr>
      </w:pPr>
      <w:bookmarkStart w:colFirst="0" w:colLast="0" w:name="_heading=h.gjdgxs" w:id="0"/>
      <w:bookmarkEnd w:id="0"/>
      <w:r w:rsidDel="00000000" w:rsidR="00000000" w:rsidRPr="00000000">
        <w:rPr>
          <w:u w:val="single"/>
          <w:rtl w:val="0"/>
        </w:rPr>
        <w:t xml:space="preserve">Pauta de apreciación</w:t>
      </w:r>
    </w:p>
    <w:p w:rsidR="00000000" w:rsidDel="00000000" w:rsidP="00000000" w:rsidRDefault="00000000" w:rsidRPr="00000000" w14:paraId="0000000A">
      <w:pPr>
        <w:jc w:val="center"/>
        <w:rPr>
          <w:u w:val="single"/>
        </w:rPr>
      </w:pPr>
      <w:r w:rsidDel="00000000" w:rsidR="00000000" w:rsidRPr="00000000">
        <w:rPr>
          <w:u w:val="single"/>
          <w:rtl w:val="0"/>
        </w:rPr>
        <w:t xml:space="preserve">Accesibilidad universal en museos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jc w:val="right"/>
        <w:rPr/>
      </w:pPr>
      <w:r w:rsidDel="00000000" w:rsidR="00000000" w:rsidRPr="00000000">
        <w:rPr>
          <w:rtl w:val="0"/>
        </w:rPr>
        <w:t xml:space="preserve">Fecha de la visita: _______________</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spacing w:line="360" w:lineRule="auto"/>
        <w:jc w:val="both"/>
        <w:rPr/>
      </w:pPr>
      <w:r w:rsidDel="00000000" w:rsidR="00000000" w:rsidRPr="00000000">
        <w:rPr>
          <w:rtl w:val="0"/>
        </w:rPr>
        <w:t xml:space="preserve">Nombre del Museo: _________________________________________________________</w:t>
      </w:r>
    </w:p>
    <w:p w:rsidR="00000000" w:rsidDel="00000000" w:rsidP="00000000" w:rsidRDefault="00000000" w:rsidRPr="00000000" w14:paraId="00000010">
      <w:pPr>
        <w:spacing w:line="360" w:lineRule="auto"/>
        <w:jc w:val="both"/>
        <w:rPr/>
      </w:pPr>
      <w:r w:rsidDel="00000000" w:rsidR="00000000" w:rsidRPr="00000000">
        <w:rPr>
          <w:rtl w:val="0"/>
        </w:rPr>
        <w:t xml:space="preserve">Nombre de quien registra: ____________________________________________________</w:t>
      </w:r>
    </w:p>
    <w:p w:rsidR="00000000" w:rsidDel="00000000" w:rsidP="00000000" w:rsidRDefault="00000000" w:rsidRPr="00000000" w14:paraId="00000011">
      <w:pPr>
        <w:jc w:val="both"/>
        <w:rPr/>
      </w:pPr>
      <w:r w:rsidDel="00000000" w:rsidR="00000000" w:rsidRPr="00000000">
        <w:rPr>
          <w:rtl w:val="0"/>
        </w:rPr>
        <w:br w:type="textWrapping"/>
        <w:t xml:space="preserve">La presente pauta presenta cuatro dimensiones de evaluación de la accesibilidad universal que facilitará el registro de su visita al museo. Para cada una de las dimensiones, usted podrá registrar sus apreciaciones de dos formas. Primero dispondrá de preguntas seguidas de una escala de valoración de 1 a 5 según el nivel de logro. Cada número representa lo siguiente:</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Niveles de accesibilidad: </w:t>
      </w:r>
    </w:p>
    <w:p w:rsidR="00000000" w:rsidDel="00000000" w:rsidP="00000000" w:rsidRDefault="00000000" w:rsidRPr="00000000" w14:paraId="00000014">
      <w:pPr>
        <w:numPr>
          <w:ilvl w:val="0"/>
          <w:numId w:val="1"/>
        </w:numPr>
        <w:ind w:left="720" w:hanging="360"/>
        <w:jc w:val="both"/>
        <w:rPr/>
      </w:pPr>
      <w:r w:rsidDel="00000000" w:rsidR="00000000" w:rsidRPr="00000000">
        <w:rPr>
          <w:rtl w:val="0"/>
        </w:rPr>
        <w:t xml:space="preserve">Muy bajo. </w:t>
      </w:r>
    </w:p>
    <w:p w:rsidR="00000000" w:rsidDel="00000000" w:rsidP="00000000" w:rsidRDefault="00000000" w:rsidRPr="00000000" w14:paraId="00000015">
      <w:pPr>
        <w:numPr>
          <w:ilvl w:val="0"/>
          <w:numId w:val="1"/>
        </w:numPr>
        <w:ind w:left="720" w:hanging="360"/>
        <w:jc w:val="both"/>
        <w:rPr/>
      </w:pPr>
      <w:r w:rsidDel="00000000" w:rsidR="00000000" w:rsidRPr="00000000">
        <w:rPr>
          <w:rtl w:val="0"/>
        </w:rPr>
        <w:t xml:space="preserve">Bajo.</w:t>
      </w:r>
    </w:p>
    <w:p w:rsidR="00000000" w:rsidDel="00000000" w:rsidP="00000000" w:rsidRDefault="00000000" w:rsidRPr="00000000" w14:paraId="00000016">
      <w:pPr>
        <w:numPr>
          <w:ilvl w:val="0"/>
          <w:numId w:val="1"/>
        </w:numPr>
        <w:ind w:left="720" w:hanging="360"/>
        <w:jc w:val="both"/>
        <w:rPr/>
      </w:pPr>
      <w:r w:rsidDel="00000000" w:rsidR="00000000" w:rsidRPr="00000000">
        <w:rPr>
          <w:rtl w:val="0"/>
        </w:rPr>
        <w:t xml:space="preserve">Medio.</w:t>
      </w:r>
    </w:p>
    <w:p w:rsidR="00000000" w:rsidDel="00000000" w:rsidP="00000000" w:rsidRDefault="00000000" w:rsidRPr="00000000" w14:paraId="00000017">
      <w:pPr>
        <w:numPr>
          <w:ilvl w:val="0"/>
          <w:numId w:val="1"/>
        </w:numPr>
        <w:ind w:left="720" w:hanging="360"/>
        <w:jc w:val="both"/>
        <w:rPr/>
      </w:pPr>
      <w:r w:rsidDel="00000000" w:rsidR="00000000" w:rsidRPr="00000000">
        <w:rPr>
          <w:rtl w:val="0"/>
        </w:rPr>
        <w:t xml:space="preserve">Alto.</w:t>
      </w:r>
    </w:p>
    <w:p w:rsidR="00000000" w:rsidDel="00000000" w:rsidP="00000000" w:rsidRDefault="00000000" w:rsidRPr="00000000" w14:paraId="00000018">
      <w:pPr>
        <w:numPr>
          <w:ilvl w:val="0"/>
          <w:numId w:val="1"/>
        </w:numPr>
        <w:ind w:left="720" w:hanging="360"/>
        <w:jc w:val="both"/>
        <w:rPr/>
      </w:pPr>
      <w:r w:rsidDel="00000000" w:rsidR="00000000" w:rsidRPr="00000000">
        <w:rPr>
          <w:rtl w:val="0"/>
        </w:rPr>
        <w:t xml:space="preserve">Muy alto.</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Adicionalmente, cada uno de los ítems a evaluar cuenta con una casilla de observaciones, en la cual usted podrá dejar sus apreciaciones personales.</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Finalmente, es importante señalar que esta pauta de observación no es restrictiva. Es decir, los elementos señalados en la pauta no son los únicos factibles de evaluar. Por tanto, la pauta deja la sección </w:t>
      </w:r>
      <w:r w:rsidDel="00000000" w:rsidR="00000000" w:rsidRPr="00000000">
        <w:rPr>
          <w:i w:val="1"/>
          <w:rtl w:val="0"/>
        </w:rPr>
        <w:t xml:space="preserve">Otros aspectos a evaluar</w:t>
      </w:r>
      <w:r w:rsidDel="00000000" w:rsidR="00000000" w:rsidRPr="00000000">
        <w:rPr>
          <w:rtl w:val="0"/>
        </w:rPr>
        <w:t xml:space="preserve"> con espacios vacíos al final para que usted pueda incorporar sus propios ítems a evaluar de acuerdo a lo que ha revisado en el curso.</w:t>
      </w:r>
    </w:p>
    <w:p w:rsidR="00000000" w:rsidDel="00000000" w:rsidP="00000000" w:rsidRDefault="00000000" w:rsidRPr="00000000" w14:paraId="0000001D">
      <w:pPr>
        <w:rPr/>
      </w:pPr>
      <w:r w:rsidDel="00000000" w:rsidR="00000000" w:rsidRPr="00000000">
        <w:rPr>
          <w:rtl w:val="0"/>
        </w:rPr>
      </w:r>
    </w:p>
    <w:tbl>
      <w:tblPr>
        <w:tblStyle w:val="Table1"/>
        <w:tblW w:w="89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15"/>
        <w:gridCol w:w="555"/>
        <w:gridCol w:w="525"/>
        <w:gridCol w:w="540"/>
        <w:gridCol w:w="540"/>
        <w:gridCol w:w="525"/>
        <w:gridCol w:w="2025"/>
        <w:tblGridChange w:id="0">
          <w:tblGrid>
            <w:gridCol w:w="4215"/>
            <w:gridCol w:w="555"/>
            <w:gridCol w:w="525"/>
            <w:gridCol w:w="540"/>
            <w:gridCol w:w="540"/>
            <w:gridCol w:w="525"/>
            <w:gridCol w:w="2025"/>
          </w:tblGrid>
        </w:tblGridChange>
      </w:tblGrid>
      <w:tr>
        <w:trPr>
          <w:cantSplit w:val="0"/>
          <w:trHeight w:val="420" w:hRule="atLeast"/>
          <w:tblHeader w:val="0"/>
        </w:trPr>
        <w:tc>
          <w:tcPr>
            <w:gridSpan w:val="7"/>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ACCESIBILIDAD FÍSICA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¿Cuenta con acceso acorde a la diversidad funcional de las personas?</w:t>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Observaciones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¿Existe una ruta accesible definida para recorrer el lugar?</w:t>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¿Cuenta con franjas de advertencias (con colores y texturas) que indiquen desnivel o presencia de peldaños?</w:t>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¿Cuenta con pisos en buen estado para la seguridad de todas las personas? </w:t>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¿Los artefactos de uso público están a una altura accesible para todos?</w:t>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¿Los baños son accesibles para todos?(espejos, lavamanos, interruptor de la luz,etc)</w:t>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¿Cuentan con mobiliario adecuado para todos?</w:t>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¿La disposición del mobiliario permite el libre desplazamiento?</w:t>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¿Existen zonas de descanso adecuadas para todos?</w:t>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¿Las puertas son fáciles de movilizar sin requerir mucha fuerza?</w:t>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rHeight w:val="420" w:hRule="atLeast"/>
          <w:tblHeader w:val="0"/>
        </w:trPr>
        <w:tc>
          <w:tcPr>
            <w:gridSpan w:val="7"/>
            <w:shd w:fill="auto" w:val="clear"/>
            <w:tcMar>
              <w:top w:w="100.0" w:type="dxa"/>
              <w:left w:w="100.0" w:type="dxa"/>
              <w:bottom w:w="100.0" w:type="dxa"/>
              <w:right w:w="100.0" w:type="dxa"/>
            </w:tcMa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ACCESIBILIDAD COGNITIVA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¿Cuenta con información clara y concisa sobre las exposiciones?</w:t>
            </w:r>
          </w:p>
        </w:tc>
        <w:tc>
          <w:tcPr>
            <w:shd w:fill="auto" w:val="clear"/>
            <w:tcMar>
              <w:top w:w="100.0" w:type="dxa"/>
              <w:left w:w="100.0" w:type="dxa"/>
              <w:bottom w:w="100.0" w:type="dxa"/>
              <w:right w:w="100.0" w:type="dxa"/>
            </w:tcMa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¿Cuenta con información clara y concisa sobre aspectos administrativos del museo (horario, requerimientos, etc.)?</w:t>
            </w:r>
          </w:p>
        </w:tc>
        <w:tc>
          <w:tcPr>
            <w:shd w:fill="auto" w:val="clear"/>
            <w:tcMar>
              <w:top w:w="100.0" w:type="dxa"/>
              <w:left w:w="100.0" w:type="dxa"/>
              <w:bottom w:w="100.0" w:type="dxa"/>
              <w:right w:w="100.0" w:type="dxa"/>
            </w:tcMar>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¿Cuenta con información clara y fácil de entender sobre cómo llegar al museo?</w:t>
            </w:r>
          </w:p>
        </w:tc>
        <w:tc>
          <w:tcPr>
            <w:shd w:fill="auto" w:val="clear"/>
            <w:tcMar>
              <w:top w:w="100.0" w:type="dxa"/>
              <w:left w:w="100.0" w:type="dxa"/>
              <w:bottom w:w="100.0" w:type="dxa"/>
              <w:right w:w="100.0" w:type="dxa"/>
            </w:tcMar>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¿Tienen documentos (folletos, guías, trípticos, etc.) sobre el museo con lectura fácil? </w:t>
            </w:r>
          </w:p>
        </w:tc>
        <w:tc>
          <w:tcPr>
            <w:shd w:fill="auto" w:val="clear"/>
            <w:tcMar>
              <w:top w:w="100.0" w:type="dxa"/>
              <w:left w:w="100.0" w:type="dxa"/>
              <w:bottom w:w="100.0" w:type="dxa"/>
              <w:right w:w="100.0" w:type="dxa"/>
            </w:tcMar>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¿Cuentan con tecnología que apoye la comprensión de las exposiciones?</w:t>
            </w:r>
          </w:p>
        </w:tc>
        <w:tc>
          <w:tcPr>
            <w:shd w:fill="auto" w:val="clear"/>
            <w:tcMar>
              <w:top w:w="100.0" w:type="dxa"/>
              <w:left w:w="100.0" w:type="dxa"/>
              <w:bottom w:w="100.0" w:type="dxa"/>
              <w:right w:w="100.0" w:type="dxa"/>
            </w:tcMar>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¿Las personas que atienden al público entregan la información de forma fácilmente comprensible para todos?</w:t>
            </w:r>
          </w:p>
        </w:tc>
        <w:tc>
          <w:tcPr>
            <w:shd w:fill="auto" w:val="clear"/>
            <w:tcMar>
              <w:top w:w="100.0" w:type="dxa"/>
              <w:left w:w="100.0" w:type="dxa"/>
              <w:bottom w:w="100.0" w:type="dxa"/>
              <w:right w:w="100.0" w:type="dxa"/>
            </w:tcMar>
          </w:tcPr>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¿Cuentan con medidas de emergencias y seguridad claras y de fácil comprensión para todos?</w:t>
            </w:r>
          </w:p>
        </w:tc>
        <w:tc>
          <w:tcPr>
            <w:shd w:fill="auto" w:val="clear"/>
            <w:tcMar>
              <w:top w:w="100.0" w:type="dxa"/>
              <w:left w:w="100.0" w:type="dxa"/>
              <w:bottom w:w="100.0" w:type="dxa"/>
              <w:right w:w="100.0" w:type="dxa"/>
            </w:tcMar>
          </w:tcPr>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¿La señalización de los espacios tiene símbolos reconocibles por todos?</w:t>
            </w:r>
          </w:p>
        </w:tc>
        <w:tc>
          <w:tcPr>
            <w:shd w:fill="auto" w:val="clear"/>
            <w:tcMar>
              <w:top w:w="100.0" w:type="dxa"/>
              <w:left w:w="100.0" w:type="dxa"/>
              <w:bottom w:w="100.0" w:type="dxa"/>
              <w:right w:w="100.0" w:type="dxa"/>
            </w:tcMar>
          </w:tcPr>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¿Las exposición diferencia sus secciones con títulos y/o iconografías claras?</w:t>
            </w:r>
          </w:p>
        </w:tc>
        <w:tc>
          <w:tcPr>
            <w:shd w:fill="auto" w:val="clear"/>
            <w:tcMar>
              <w:top w:w="100.0" w:type="dxa"/>
              <w:left w:w="100.0" w:type="dxa"/>
              <w:bottom w:w="100.0" w:type="dxa"/>
              <w:right w:w="100.0" w:type="dxa"/>
            </w:tcMar>
          </w:tcPr>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¿Existe una demarcación guía que oriente el desplazamiento por el museo?</w:t>
            </w:r>
          </w:p>
        </w:tc>
        <w:tc>
          <w:tcPr>
            <w:shd w:fill="auto" w:val="clear"/>
            <w:tcMar>
              <w:top w:w="100.0" w:type="dxa"/>
              <w:left w:w="100.0" w:type="dxa"/>
              <w:bottom w:w="100.0" w:type="dxa"/>
              <w:right w:w="100.0" w:type="dxa"/>
            </w:tcMar>
          </w:tcPr>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rHeight w:val="420" w:hRule="atLeast"/>
          <w:tblHeader w:val="0"/>
        </w:trPr>
        <w:tc>
          <w:tcPr>
            <w:gridSpan w:val="7"/>
            <w:shd w:fill="auto" w:val="clear"/>
            <w:tcMar>
              <w:top w:w="100.0" w:type="dxa"/>
              <w:left w:w="100.0" w:type="dxa"/>
              <w:bottom w:w="100.0" w:type="dxa"/>
              <w:right w:w="100.0" w:type="dxa"/>
            </w:tcMar>
          </w:tcPr>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ACCESIBILIDAD SENSORIAL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¿Cuenta con un nivel de iluminación que permite distinguir la exposición con claridad?</w:t>
            </w:r>
          </w:p>
        </w:tc>
        <w:tc>
          <w:tcPr>
            <w:shd w:fill="auto" w:val="clear"/>
            <w:tcMar>
              <w:top w:w="100.0" w:type="dxa"/>
              <w:left w:w="100.0" w:type="dxa"/>
              <w:bottom w:w="100.0" w:type="dxa"/>
              <w:right w:w="100.0" w:type="dxa"/>
            </w:tcMar>
          </w:tcPr>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¿Cuenta con iluminación homogénea e indirecta, evitando reflejos y sombras?</w:t>
            </w:r>
          </w:p>
        </w:tc>
        <w:tc>
          <w:tcPr>
            <w:shd w:fill="auto" w:val="clear"/>
            <w:tcMar>
              <w:top w:w="100.0" w:type="dxa"/>
              <w:left w:w="100.0" w:type="dxa"/>
              <w:bottom w:w="100.0" w:type="dxa"/>
              <w:right w:w="100.0" w:type="dxa"/>
            </w:tcMar>
          </w:tcPr>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¿Cuenta con información en tamaño, color y tipografía comprensible por todos?</w:t>
            </w:r>
          </w:p>
        </w:tc>
        <w:tc>
          <w:tcPr>
            <w:shd w:fill="auto" w:val="clear"/>
            <w:tcMar>
              <w:top w:w="100.0" w:type="dxa"/>
              <w:left w:w="100.0" w:type="dxa"/>
              <w:bottom w:w="100.0" w:type="dxa"/>
              <w:right w:w="100.0" w:type="dxa"/>
            </w:tcMar>
          </w:tcPr>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¿Cuenta con señaléticas con imágenes?</w:t>
            </w:r>
          </w:p>
        </w:tc>
        <w:tc>
          <w:tcPr>
            <w:shd w:fill="auto" w:val="clear"/>
            <w:tcMar>
              <w:top w:w="100.0" w:type="dxa"/>
              <w:left w:w="100.0" w:type="dxa"/>
              <w:bottom w:w="100.0" w:type="dxa"/>
              <w:right w:w="100.0" w:type="dxa"/>
            </w:tcMar>
          </w:tcPr>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¿Cuenta con información en braille?</w:t>
            </w:r>
          </w:p>
        </w:tc>
        <w:tc>
          <w:tcPr>
            <w:shd w:fill="auto" w:val="clear"/>
            <w:tcMar>
              <w:top w:w="100.0" w:type="dxa"/>
              <w:left w:w="100.0" w:type="dxa"/>
              <w:bottom w:w="100.0" w:type="dxa"/>
              <w:right w:w="100.0" w:type="dxa"/>
            </w:tcMar>
          </w:tcPr>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¿Existen secciones de la exposiciones que cuenten con relieves para explorar de forma tactil?</w:t>
            </w:r>
          </w:p>
        </w:tc>
        <w:tc>
          <w:tcPr>
            <w:shd w:fill="auto" w:val="clear"/>
            <w:tcMar>
              <w:top w:w="100.0" w:type="dxa"/>
              <w:left w:w="100.0" w:type="dxa"/>
              <w:bottom w:w="100.0" w:type="dxa"/>
              <w:right w:w="100.0" w:type="dxa"/>
            </w:tcMar>
          </w:tcPr>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¿Cuenta con franjas podotáctiles que señalan el recorrido y los espacios importantes?</w:t>
            </w:r>
          </w:p>
        </w:tc>
        <w:tc>
          <w:tcPr>
            <w:shd w:fill="auto" w:val="clear"/>
            <w:tcMar>
              <w:top w:w="100.0" w:type="dxa"/>
              <w:left w:w="100.0" w:type="dxa"/>
              <w:bottom w:w="100.0" w:type="dxa"/>
              <w:right w:w="100.0" w:type="dxa"/>
            </w:tcMar>
          </w:tcPr>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¿Cuenta con alarmas visuales y sonoras?</w:t>
            </w:r>
          </w:p>
        </w:tc>
        <w:tc>
          <w:tcPr>
            <w:shd w:fill="auto" w:val="clear"/>
            <w:tcMar>
              <w:top w:w="100.0" w:type="dxa"/>
              <w:left w:w="100.0" w:type="dxa"/>
              <w:bottom w:w="100.0" w:type="dxa"/>
              <w:right w:w="100.0" w:type="dxa"/>
            </w:tcMar>
          </w:tcPr>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¿Las exposiciones ofrecen alternativas sensoriales diferentes a lo visual?</w:t>
            </w:r>
          </w:p>
        </w:tc>
        <w:tc>
          <w:tcPr>
            <w:shd w:fill="auto" w:val="clear"/>
            <w:tcMar>
              <w:top w:w="100.0" w:type="dxa"/>
              <w:left w:w="100.0" w:type="dxa"/>
              <w:bottom w:w="100.0" w:type="dxa"/>
              <w:right w:w="100.0" w:type="dxa"/>
            </w:tcMar>
          </w:tcPr>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¿Cuenta con intérprete de lengua de señas para atender al público?</w:t>
            </w:r>
          </w:p>
        </w:tc>
        <w:tc>
          <w:tcPr>
            <w:shd w:fill="auto" w:val="clear"/>
            <w:tcMar>
              <w:top w:w="100.0" w:type="dxa"/>
              <w:left w:w="100.0" w:type="dxa"/>
              <w:bottom w:w="100.0" w:type="dxa"/>
              <w:right w:w="100.0" w:type="dxa"/>
            </w:tcMar>
          </w:tcPr>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gridSpan w:val="7"/>
            <w:shd w:fill="auto" w:val="clear"/>
            <w:tcMar>
              <w:top w:w="100.0" w:type="dxa"/>
              <w:left w:w="100.0" w:type="dxa"/>
              <w:bottom w:w="100.0" w:type="dxa"/>
              <w:right w:w="100.0" w:type="dxa"/>
            </w:tcMar>
          </w:tcPr>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ACCESIBILIDAD ACTITUDINAL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¿El museo cuenta con una persona mediadora que guíe por la exposición?</w:t>
            </w:r>
          </w:p>
        </w:tc>
        <w:tc>
          <w:tcPr>
            <w:shd w:fill="auto" w:val="clear"/>
            <w:tcMar>
              <w:top w:w="100.0" w:type="dxa"/>
              <w:left w:w="100.0" w:type="dxa"/>
              <w:bottom w:w="100.0" w:type="dxa"/>
              <w:right w:w="100.0" w:type="dxa"/>
            </w:tcMar>
          </w:tcPr>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¿Las personas que trabajan en el museo cuentan con formación en discapacidad?</w:t>
            </w:r>
          </w:p>
        </w:tc>
        <w:tc>
          <w:tcPr>
            <w:shd w:fill="auto" w:val="clear"/>
            <w:tcMar>
              <w:top w:w="100.0" w:type="dxa"/>
              <w:left w:w="100.0" w:type="dxa"/>
              <w:bottom w:w="100.0" w:type="dxa"/>
              <w:right w:w="100.0" w:type="dxa"/>
            </w:tcMar>
          </w:tcPr>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¿En el museo se utiliza un lenguaje amigable e inclusivo con la diversidad funcional?</w:t>
            </w:r>
          </w:p>
        </w:tc>
        <w:tc>
          <w:tcPr>
            <w:shd w:fill="auto" w:val="clear"/>
            <w:tcMar>
              <w:top w:w="100.0" w:type="dxa"/>
              <w:left w:w="100.0" w:type="dxa"/>
              <w:bottom w:w="100.0" w:type="dxa"/>
              <w:right w:w="100.0" w:type="dxa"/>
            </w:tcMar>
          </w:tcPr>
          <w:p w:rsidR="00000000" w:rsidDel="00000000" w:rsidP="00000000" w:rsidRDefault="00000000" w:rsidRPr="00000000" w14:paraId="0000011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¿La exposiciones carecen de denominaciones que podrían resultar ofensivas para personas en situación de discapacidad?</w:t>
            </w:r>
          </w:p>
        </w:tc>
        <w:tc>
          <w:tcPr>
            <w:shd w:fill="auto" w:val="clear"/>
            <w:tcMar>
              <w:top w:w="100.0" w:type="dxa"/>
              <w:left w:w="100.0" w:type="dxa"/>
              <w:bottom w:w="100.0" w:type="dxa"/>
              <w:right w:w="100.0" w:type="dxa"/>
            </w:tcMar>
          </w:tcPr>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¿Existe disposición para contestar dudas de manera atenta?</w:t>
            </w:r>
          </w:p>
        </w:tc>
        <w:tc>
          <w:tcPr>
            <w:shd w:fill="auto" w:val="clear"/>
            <w:tcMar>
              <w:top w:w="100.0" w:type="dxa"/>
              <w:left w:w="100.0" w:type="dxa"/>
              <w:bottom w:w="100.0" w:type="dxa"/>
              <w:right w:w="100.0" w:type="dxa"/>
            </w:tcMar>
          </w:tcPr>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gridSpan w:val="7"/>
            <w:shd w:fill="auto" w:val="clear"/>
            <w:tcMar>
              <w:top w:w="100.0" w:type="dxa"/>
              <w:left w:w="100.0" w:type="dxa"/>
              <w:bottom w:w="100.0" w:type="dxa"/>
              <w:right w:w="100.0" w:type="dxa"/>
            </w:tcMar>
          </w:tcPr>
          <w:p w:rsidR="00000000" w:rsidDel="00000000" w:rsidP="00000000" w:rsidRDefault="00000000" w:rsidRPr="00000000" w14:paraId="0000012F">
            <w:pPr>
              <w:widowControl w:val="0"/>
              <w:pBdr>
                <w:top w:space="0" w:sz="0" w:val="nil"/>
                <w:left w:space="0" w:sz="0" w:val="nil"/>
                <w:bottom w:space="0" w:sz="0" w:val="nil"/>
                <w:right w:space="0" w:sz="0" w:val="nil"/>
                <w:between w:space="0" w:sz="0" w:val="nil"/>
              </w:pBdr>
              <w:spacing w:line="240" w:lineRule="auto"/>
              <w:rPr/>
            </w:pPr>
            <w:r w:rsidDel="00000000" w:rsidR="00000000" w:rsidRPr="00000000">
              <w:rPr>
                <w:b w:val="1"/>
                <w:rtl w:val="0"/>
              </w:rPr>
              <w:t xml:space="preserve">ACCESIBILIDAD COMUNICATIVA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¿El museo cuenta con señalética que distingue los distintos espacios?</w:t>
            </w:r>
          </w:p>
        </w:tc>
        <w:tc>
          <w:tcPr>
            <w:shd w:fill="auto" w:val="clear"/>
            <w:tcMar>
              <w:top w:w="100.0" w:type="dxa"/>
              <w:left w:w="100.0" w:type="dxa"/>
              <w:bottom w:w="100.0" w:type="dxa"/>
              <w:right w:w="100.0" w:type="dxa"/>
            </w:tcMar>
          </w:tcPr>
          <w:p w:rsidR="00000000" w:rsidDel="00000000" w:rsidP="00000000" w:rsidRDefault="00000000" w:rsidRPr="00000000" w14:paraId="0000013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¿El ambiente está lo suficientemente aislado del ruido para comunicarse con tranquilidad?</w:t>
            </w:r>
          </w:p>
        </w:tc>
        <w:tc>
          <w:tcPr>
            <w:shd w:fill="auto" w:val="clear"/>
            <w:tcMar>
              <w:top w:w="100.0" w:type="dxa"/>
              <w:left w:w="100.0" w:type="dxa"/>
              <w:bottom w:w="100.0" w:type="dxa"/>
              <w:right w:w="100.0" w:type="dxa"/>
            </w:tcMar>
          </w:tcPr>
          <w:p w:rsidR="00000000" w:rsidDel="00000000" w:rsidP="00000000" w:rsidRDefault="00000000" w:rsidRPr="00000000" w14:paraId="0000013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¿La exposición cuenta con un formato de audiodescripción del recorrido?</w:t>
            </w:r>
          </w:p>
        </w:tc>
        <w:tc>
          <w:tcPr>
            <w:shd w:fill="auto" w:val="clear"/>
            <w:tcMar>
              <w:top w:w="100.0" w:type="dxa"/>
              <w:left w:w="100.0" w:type="dxa"/>
              <w:bottom w:w="100.0" w:type="dxa"/>
              <w:right w:w="100.0" w:type="dxa"/>
            </w:tcMar>
          </w:tcPr>
          <w:p w:rsidR="00000000" w:rsidDel="00000000" w:rsidP="00000000" w:rsidRDefault="00000000" w:rsidRPr="00000000" w14:paraId="0000014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¿La exposición cuenta con videos con información en lengua de señas?</w:t>
            </w:r>
          </w:p>
        </w:tc>
        <w:tc>
          <w:tcPr>
            <w:shd w:fill="auto" w:val="clear"/>
            <w:tcMar>
              <w:top w:w="100.0" w:type="dxa"/>
              <w:left w:w="100.0" w:type="dxa"/>
              <w:bottom w:w="100.0" w:type="dxa"/>
              <w:right w:w="100.0" w:type="dxa"/>
            </w:tcMar>
          </w:tcPr>
          <w:p w:rsidR="00000000" w:rsidDel="00000000" w:rsidP="00000000" w:rsidRDefault="00000000" w:rsidRPr="00000000" w14:paraId="0000014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¿La exposición cuenta con información escrita con letras de tamaño grande con altos contrastes?</w:t>
            </w:r>
          </w:p>
        </w:tc>
        <w:tc>
          <w:tcPr>
            <w:shd w:fill="auto" w:val="clear"/>
            <w:tcMar>
              <w:top w:w="100.0" w:type="dxa"/>
              <w:left w:w="100.0" w:type="dxa"/>
              <w:bottom w:w="100.0" w:type="dxa"/>
              <w:right w:w="100.0" w:type="dxa"/>
            </w:tcMar>
          </w:tcPr>
          <w:p w:rsidR="00000000" w:rsidDel="00000000" w:rsidP="00000000" w:rsidRDefault="00000000" w:rsidRPr="00000000" w14:paraId="0000015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¿El museo ofrece canales diversos de comunicación para realizar retroalimentación sobre la exposición?</w:t>
            </w:r>
          </w:p>
        </w:tc>
        <w:tc>
          <w:tcPr>
            <w:shd w:fill="auto" w:val="clear"/>
            <w:tcMar>
              <w:top w:w="100.0" w:type="dxa"/>
              <w:left w:w="100.0" w:type="dxa"/>
              <w:bottom w:w="100.0" w:type="dxa"/>
              <w:right w:w="100.0" w:type="dxa"/>
            </w:tcMar>
          </w:tcPr>
          <w:p w:rsidR="00000000" w:rsidDel="00000000" w:rsidP="00000000" w:rsidRDefault="00000000" w:rsidRPr="00000000" w14:paraId="0000015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¿El museo ofrece canales diversos para interactuar con la exposición (grabación de audio, video, escribir mensajes, etc)?</w:t>
            </w:r>
          </w:p>
        </w:tc>
        <w:tc>
          <w:tcPr>
            <w:shd w:fill="auto" w:val="clear"/>
            <w:tcMar>
              <w:top w:w="100.0" w:type="dxa"/>
              <w:left w:w="100.0" w:type="dxa"/>
              <w:bottom w:w="100.0" w:type="dxa"/>
              <w:right w:w="100.0" w:type="dxa"/>
            </w:tcMar>
          </w:tcPr>
          <w:p w:rsidR="00000000" w:rsidDel="00000000" w:rsidP="00000000" w:rsidRDefault="00000000" w:rsidRPr="00000000" w14:paraId="0000016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gridSpan w:val="7"/>
            <w:shd w:fill="auto" w:val="clear"/>
            <w:tcMar>
              <w:top w:w="100.0" w:type="dxa"/>
              <w:left w:w="100.0" w:type="dxa"/>
              <w:bottom w:w="100.0" w:type="dxa"/>
              <w:right w:w="100.0" w:type="dxa"/>
            </w:tcMar>
          </w:tcPr>
          <w:p w:rsidR="00000000" w:rsidDel="00000000" w:rsidP="00000000" w:rsidRDefault="00000000" w:rsidRPr="00000000" w14:paraId="00000167">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OTROS ASPECTOS A EVALUAR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8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8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bl>
    <w:p w:rsidR="00000000" w:rsidDel="00000000" w:rsidP="00000000" w:rsidRDefault="00000000" w:rsidRPr="00000000" w14:paraId="00000191">
      <w:pPr>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3">
    <w:pPr>
      <w:jc w:val="right"/>
      <w:rPr>
        <w:sz w:val="16"/>
        <w:szCs w:val="16"/>
      </w:rPr>
    </w:pPr>
    <w:r w:rsidDel="00000000" w:rsidR="00000000" w:rsidRPr="00000000">
      <w:rPr>
        <w:sz w:val="16"/>
        <w:szCs w:val="16"/>
        <w:rtl w:val="0"/>
      </w:rPr>
      <w:t xml:space="preserve">Nazareth Torres, Daniel Larenas, Andrés Rosa (2024)</w:t>
    </w:r>
  </w:p>
  <w:p w:rsidR="00000000" w:rsidDel="00000000" w:rsidP="00000000" w:rsidRDefault="00000000" w:rsidRPr="00000000" w14:paraId="00000194">
    <w:pPr>
      <w:jc w:val="right"/>
      <w:rPr>
        <w:sz w:val="16"/>
        <w:szCs w:val="16"/>
      </w:rPr>
    </w:pPr>
    <w:r w:rsidDel="00000000" w:rsidR="00000000" w:rsidRPr="00000000">
      <w:rPr>
        <w:sz w:val="16"/>
        <w:szCs w:val="16"/>
        <w:rtl w:val="0"/>
      </w:rPr>
      <w:t xml:space="preserve">CFG Museos universitarios accesibles: explorando la accesibilidad de los museos de la Universidad de Chile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1640831" cy="646249"/>
          <wp:effectExtent b="0" l="0" r="0" t="0"/>
          <wp:docPr descr="Título del documento]" id="2" name="image1.png"/>
          <a:graphic>
            <a:graphicData uri="http://schemas.openxmlformats.org/drawingml/2006/picture">
              <pic:pic>
                <pic:nvPicPr>
                  <pic:cNvPr descr="Título del documento]" id="0" name="image1.png"/>
                  <pic:cNvPicPr preferRelativeResize="0"/>
                </pic:nvPicPr>
                <pic:blipFill>
                  <a:blip r:embed="rId1"/>
                  <a:srcRect b="0" l="0" r="0" t="0"/>
                  <a:stretch>
                    <a:fillRect/>
                  </a:stretch>
                </pic:blipFill>
                <pic:spPr>
                  <a:xfrm>
                    <a:off x="0" y="0"/>
                    <a:ext cx="1640831" cy="64624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Ttulo1">
    <w:name w:val="heading 1"/>
    <w:basedOn w:val="Normal"/>
    <w:next w:val="Normal"/>
    <w:pPr>
      <w:keepNext w:val="1"/>
      <w:keepLines w:val="1"/>
      <w:spacing w:after="120" w:before="400"/>
      <w:outlineLvl w:val="0"/>
    </w:pPr>
    <w:rPr>
      <w:sz w:val="40"/>
      <w:szCs w:val="40"/>
    </w:rPr>
  </w:style>
  <w:style w:type="paragraph" w:styleId="Ttulo2">
    <w:name w:val="heading 2"/>
    <w:basedOn w:val="Normal"/>
    <w:next w:val="Normal"/>
    <w:pPr>
      <w:keepNext w:val="1"/>
      <w:keepLines w:val="1"/>
      <w:spacing w:after="120" w:before="360"/>
      <w:outlineLvl w:val="1"/>
    </w:pPr>
    <w:rPr>
      <w:sz w:val="32"/>
      <w:szCs w:val="32"/>
    </w:rPr>
  </w:style>
  <w:style w:type="paragraph" w:styleId="Ttulo3">
    <w:name w:val="heading 3"/>
    <w:basedOn w:val="Normal"/>
    <w:next w:val="Normal"/>
    <w:pPr>
      <w:keepNext w:val="1"/>
      <w:keepLines w:val="1"/>
      <w:spacing w:after="80" w:before="320"/>
      <w:outlineLvl w:val="2"/>
    </w:pPr>
    <w:rPr>
      <w:color w:val="434343"/>
      <w:sz w:val="28"/>
      <w:szCs w:val="28"/>
    </w:rPr>
  </w:style>
  <w:style w:type="paragraph" w:styleId="Ttulo4">
    <w:name w:val="heading 4"/>
    <w:basedOn w:val="Normal"/>
    <w:next w:val="Normal"/>
    <w:pPr>
      <w:keepNext w:val="1"/>
      <w:keepLines w:val="1"/>
      <w:spacing w:after="80" w:before="280"/>
      <w:outlineLvl w:val="3"/>
    </w:pPr>
    <w:rPr>
      <w:color w:val="666666"/>
      <w:sz w:val="24"/>
      <w:szCs w:val="24"/>
    </w:rPr>
  </w:style>
  <w:style w:type="paragraph" w:styleId="Ttulo5">
    <w:name w:val="heading 5"/>
    <w:basedOn w:val="Normal"/>
    <w:next w:val="Normal"/>
    <w:pPr>
      <w:keepNext w:val="1"/>
      <w:keepLines w:val="1"/>
      <w:spacing w:after="80" w:before="240"/>
      <w:outlineLvl w:val="4"/>
    </w:pPr>
    <w:rPr>
      <w:color w:val="666666"/>
    </w:rPr>
  </w:style>
  <w:style w:type="paragraph" w:styleId="Ttulo6">
    <w:name w:val="heading 6"/>
    <w:basedOn w:val="Normal"/>
    <w:next w:val="Normal"/>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60"/>
    </w:pPr>
    <w:rPr>
      <w:sz w:val="52"/>
      <w:szCs w:val="52"/>
    </w:rPr>
  </w:style>
  <w:style w:type="paragraph" w:styleId="Subttulo">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paragraph" w:styleId="Encabezado">
    <w:name w:val="header"/>
    <w:basedOn w:val="Normal"/>
    <w:link w:val="EncabezadoCar"/>
    <w:uiPriority w:val="99"/>
    <w:unhideWhenUsed w:val="1"/>
    <w:rsid w:val="00DC0F08"/>
    <w:pPr>
      <w:tabs>
        <w:tab w:val="center" w:pos="4419"/>
        <w:tab w:val="right" w:pos="8838"/>
      </w:tabs>
      <w:spacing w:line="240" w:lineRule="auto"/>
    </w:pPr>
  </w:style>
  <w:style w:type="character" w:styleId="EncabezadoCar" w:customStyle="1">
    <w:name w:val="Encabezado Car"/>
    <w:basedOn w:val="Fuentedeprrafopredeter"/>
    <w:link w:val="Encabezado"/>
    <w:uiPriority w:val="99"/>
    <w:rsid w:val="00DC0F08"/>
  </w:style>
  <w:style w:type="paragraph" w:styleId="Piedepgina">
    <w:name w:val="footer"/>
    <w:basedOn w:val="Normal"/>
    <w:link w:val="PiedepginaCar"/>
    <w:uiPriority w:val="99"/>
    <w:unhideWhenUsed w:val="1"/>
    <w:rsid w:val="00DC0F08"/>
    <w:pPr>
      <w:tabs>
        <w:tab w:val="center" w:pos="4419"/>
        <w:tab w:val="right" w:pos="8838"/>
      </w:tabs>
      <w:spacing w:line="240" w:lineRule="auto"/>
    </w:pPr>
  </w:style>
  <w:style w:type="character" w:styleId="PiedepginaCar" w:customStyle="1">
    <w:name w:val="Pie de página Car"/>
    <w:basedOn w:val="Fuentedeprrafopredeter"/>
    <w:link w:val="Piedepgina"/>
    <w:uiPriority w:val="99"/>
    <w:rsid w:val="00DC0F08"/>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G2veaq+QTCO7NRzA+nfoX2/dxQ==">CgMxLjAyCGguZ2pkZ3hzOAByITFoOWtTMXFtZ3EzVUhjcHpOcm02WDRZNXFJUl9kR2NmZQ==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2023-10-03T15:44:00Z</dcterms:created>
</cp:coreProperties>
</file>