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426" w:firstLine="0"/>
        <w:jc w:val="center"/>
        <w:rPr>
          <w:rFonts w:ascii="Arial" w:hAnsi="Arial" w:cs="Arial" w:eastAsia="Arial"/>
          <w:b/>
          <w:color w:val="auto"/>
          <w:spacing w:val="0"/>
          <w:position w:val="0"/>
          <w:sz w:val="22"/>
          <w:shd w:fill="auto" w:val="clear"/>
        </w:rPr>
      </w:pPr>
    </w:p>
    <w:p>
      <w:pPr>
        <w:spacing w:before="0" w:after="0" w:line="240"/>
        <w:ind w:right="0" w:left="0" w:firstLine="0"/>
        <w:jc w:val="center"/>
        <w:rPr>
          <w:rFonts w:ascii="Arial" w:hAnsi="Arial" w:cs="Arial" w:eastAsia="Arial"/>
          <w:b/>
          <w:color w:val="auto"/>
          <w:spacing w:val="0"/>
          <w:position w:val="0"/>
          <w:sz w:val="22"/>
          <w:u w:val="single"/>
          <w:shd w:fill="auto" w:val="clear"/>
        </w:rPr>
      </w:pPr>
      <w:r>
        <w:rPr>
          <w:rFonts w:ascii="Arial" w:hAnsi="Arial" w:cs="Arial" w:eastAsia="Arial"/>
          <w:b/>
          <w:color w:val="auto"/>
          <w:spacing w:val="0"/>
          <w:position w:val="0"/>
          <w:sz w:val="22"/>
          <w:u w:val="single"/>
          <w:shd w:fill="auto" w:val="clear"/>
        </w:rPr>
        <w:t xml:space="preserve">PROGRAMA DE CURSOS DE FORMACION GENERAL – CFG</w:t>
      </w:r>
    </w:p>
    <w:p>
      <w:pPr>
        <w:spacing w:before="0" w:after="0" w:line="240"/>
        <w:ind w:right="0" w:left="0" w:firstLine="0"/>
        <w:jc w:val="center"/>
        <w:rPr>
          <w:rFonts w:ascii="Arial" w:hAnsi="Arial" w:cs="Arial" w:eastAsia="Arial"/>
          <w:b/>
          <w:color w:val="auto"/>
          <w:spacing w:val="0"/>
          <w:position w:val="0"/>
          <w:sz w:val="22"/>
          <w:u w:val="single"/>
          <w:shd w:fill="auto" w:val="clear"/>
        </w:rPr>
      </w:pPr>
    </w:p>
    <w:p>
      <w:pPr>
        <w:spacing w:before="0" w:after="0" w:line="240"/>
        <w:ind w:right="0" w:left="0" w:firstLine="0"/>
        <w:jc w:val="center"/>
        <w:rPr>
          <w:rFonts w:ascii="Arial" w:hAnsi="Arial" w:cs="Arial" w:eastAsia="Arial"/>
          <w:b/>
          <w:color w:val="auto"/>
          <w:spacing w:val="0"/>
          <w:position w:val="0"/>
          <w:sz w:val="22"/>
          <w:u w:val="single"/>
          <w:shd w:fill="auto" w:val="clear"/>
        </w:rPr>
      </w:pPr>
      <w:r>
        <w:rPr>
          <w:rFonts w:ascii="Arial" w:hAnsi="Arial" w:cs="Arial" w:eastAsia="Arial"/>
          <w:b/>
          <w:color w:val="auto"/>
          <w:spacing w:val="0"/>
          <w:position w:val="0"/>
          <w:sz w:val="22"/>
          <w:u w:val="single"/>
          <w:shd w:fill="auto" w:val="clear"/>
        </w:rPr>
        <w:t xml:space="preserve">II Semestre 2014</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i/>
          <w:color w:val="535353"/>
          <w:spacing w:val="0"/>
          <w:position w:val="0"/>
          <w:sz w:val="22"/>
          <w:shd w:fill="auto" w:val="clear"/>
        </w:rPr>
      </w:pPr>
      <w:r>
        <w:rPr>
          <w:rFonts w:ascii="Arial" w:hAnsi="Arial" w:cs="Arial" w:eastAsia="Arial"/>
          <w:b/>
          <w:color w:val="auto"/>
          <w:spacing w:val="0"/>
          <w:position w:val="0"/>
          <w:sz w:val="22"/>
          <w:shd w:fill="auto" w:val="clear"/>
        </w:rPr>
        <w:t xml:space="preserve">1. NOMBRE DEL CURSO</w:t>
      </w:r>
      <w:r>
        <w:rPr>
          <w:rFonts w:ascii="Arial" w:hAnsi="Arial" w:cs="Arial" w:eastAsia="Arial"/>
          <w:i/>
          <w:color w:val="535353"/>
          <w:spacing w:val="0"/>
          <w:position w:val="0"/>
          <w:sz w:val="22"/>
          <w:shd w:fill="auto" w:val="clear"/>
        </w:rPr>
        <w:t xml:space="preserve">: El poder de la Ciencia</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2. NOMBRE DE LA ASIGNATURA EN INGLÉS </w:t>
      </w:r>
      <w:r>
        <w:rPr>
          <w:rFonts w:ascii="Arial" w:hAnsi="Arial" w:cs="Arial" w:eastAsia="Arial"/>
          <w:i/>
          <w:color w:val="000000"/>
          <w:spacing w:val="0"/>
          <w:position w:val="0"/>
          <w:sz w:val="22"/>
          <w:shd w:fill="auto" w:val="clear"/>
        </w:rPr>
        <w:t xml:space="preserve">(No rellenar. Será traducido por la Unidad de Formación General e Inglés):  </w:t>
      </w:r>
      <w:r>
        <w:rPr>
          <w:rFonts w:ascii="Arial" w:hAnsi="Arial" w:cs="Arial" w:eastAsia="Arial"/>
          <w:color w:val="000000"/>
          <w:spacing w:val="0"/>
          <w:position w:val="0"/>
          <w:sz w:val="22"/>
          <w:shd w:fill="auto" w:val="clear"/>
        </w:rPr>
        <w:t xml:space="preserve">The Power of Science</w:t>
      </w:r>
    </w:p>
    <w:p>
      <w:pPr>
        <w:spacing w:before="0" w:after="0" w:line="240"/>
        <w:ind w:right="0" w:left="0" w:firstLine="0"/>
        <w:jc w:val="both"/>
        <w:rPr>
          <w:rFonts w:ascii="Arial" w:hAnsi="Arial" w:cs="Arial" w:eastAsia="Arial"/>
          <w:color w:val="000000"/>
          <w:spacing w:val="0"/>
          <w:position w:val="0"/>
          <w:sz w:val="22"/>
          <w:shd w:fill="auto" w:val="clear"/>
        </w:rPr>
      </w:pPr>
    </w:p>
    <w:p>
      <w:pPr>
        <w:spacing w:before="0" w:after="0" w:line="240"/>
        <w:ind w:right="0" w:left="0" w:firstLine="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3. EQUIPO DOCENTE:</w:t>
      </w:r>
    </w:p>
    <w:p>
      <w:pPr>
        <w:spacing w:before="0" w:after="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Profesor Responsable: Dra. Nelida Pohl Pohl (Biologa)</w:t>
      </w:r>
    </w:p>
    <w:p>
      <w:pPr>
        <w:spacing w:before="0" w:after="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Profesor(es) Colaborador(es): Dr. Claudio Falcon (Físico), Mg. Martín Pérez (Químico)</w:t>
      </w:r>
    </w:p>
    <w:p>
      <w:pPr>
        <w:spacing w:before="0" w:after="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Ayudante(s): por definir. </w:t>
      </w:r>
    </w:p>
    <w:p>
      <w:pPr>
        <w:spacing w:before="0" w:after="0" w:line="240"/>
        <w:ind w:right="0" w:left="0" w:firstLine="0"/>
        <w:jc w:val="both"/>
        <w:rPr>
          <w:rFonts w:ascii="Arial" w:hAnsi="Arial" w:cs="Arial" w:eastAsia="Arial"/>
          <w:b/>
          <w:color w:val="000000"/>
          <w:spacing w:val="0"/>
          <w:position w:val="0"/>
          <w:sz w:val="22"/>
          <w:shd w:fill="auto" w:val="clear"/>
        </w:rPr>
      </w:pPr>
    </w:p>
    <w:p>
      <w:pPr>
        <w:spacing w:before="0" w:after="0" w:line="240"/>
        <w:ind w:right="0" w:left="0" w:firstLine="0"/>
        <w:jc w:val="both"/>
        <w:rPr>
          <w:rFonts w:ascii="Arial" w:hAnsi="Arial" w:cs="Arial" w:eastAsia="Arial"/>
          <w:i/>
          <w:color w:val="000000"/>
          <w:spacing w:val="0"/>
          <w:position w:val="0"/>
          <w:sz w:val="22"/>
          <w:shd w:fill="auto" w:val="clear"/>
        </w:rPr>
      </w:pPr>
      <w:r>
        <w:rPr>
          <w:rFonts w:ascii="Arial" w:hAnsi="Arial" w:cs="Arial" w:eastAsia="Arial"/>
          <w:b/>
          <w:color w:val="000000"/>
          <w:spacing w:val="0"/>
          <w:position w:val="0"/>
          <w:sz w:val="22"/>
          <w:shd w:fill="auto" w:val="clear"/>
        </w:rPr>
        <w:t xml:space="preserve">4. DÍA Y HORARIO: (</w:t>
      </w:r>
      <w:r>
        <w:rPr>
          <w:rFonts w:ascii="Arial" w:hAnsi="Arial" w:cs="Arial" w:eastAsia="Arial"/>
          <w:i/>
          <w:color w:val="000000"/>
          <w:spacing w:val="0"/>
          <w:position w:val="0"/>
          <w:sz w:val="22"/>
          <w:shd w:fill="auto" w:val="clear"/>
        </w:rPr>
        <w:t xml:space="preserve">Jornada horaria específica: martes, miércoles o jueves, desde las 14:00 y hasta las 20:00 hrs, idealmente. Estos días se justifican por los feriados establecidos generalmente en días lunes y viernes. Sin embargo, se pueden considerar estos días al igual que la jornada de la mañana en coordinación con el Programa para evaluar la factibilidad)</w:t>
      </w:r>
    </w:p>
    <w:p>
      <w:pPr>
        <w:spacing w:before="0" w:after="0" w:line="240"/>
        <w:ind w:right="0" w:left="0" w:firstLine="0"/>
        <w:jc w:val="center"/>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Martes de 17:00 a 18:30</w:t>
      </w:r>
    </w:p>
    <w:p>
      <w:pPr>
        <w:spacing w:before="0" w:after="0" w:line="240"/>
        <w:ind w:right="0" w:left="0" w:firstLine="0"/>
        <w:jc w:val="both"/>
        <w:rPr>
          <w:rFonts w:ascii="Arial" w:hAnsi="Arial" w:cs="Arial" w:eastAsia="Arial"/>
          <w:b/>
          <w:color w:val="000000"/>
          <w:spacing w:val="0"/>
          <w:position w:val="0"/>
          <w:sz w:val="22"/>
          <w:shd w:fill="auto" w:val="clear"/>
        </w:rPr>
      </w:pPr>
    </w:p>
    <w:p>
      <w:pPr>
        <w:spacing w:before="0" w:after="0" w:line="240"/>
        <w:ind w:right="0" w:left="0" w:firstLine="0"/>
        <w:jc w:val="both"/>
        <w:rPr>
          <w:rFonts w:ascii="Arial" w:hAnsi="Arial" w:cs="Arial" w:eastAsia="Arial"/>
          <w:i/>
          <w:color w:val="000000"/>
          <w:spacing w:val="0"/>
          <w:position w:val="0"/>
          <w:sz w:val="22"/>
          <w:shd w:fill="auto" w:val="clear"/>
        </w:rPr>
      </w:pPr>
      <w:r>
        <w:rPr>
          <w:rFonts w:ascii="Arial" w:hAnsi="Arial" w:cs="Arial" w:eastAsia="Arial"/>
          <w:b/>
          <w:color w:val="000000"/>
          <w:spacing w:val="0"/>
          <w:position w:val="0"/>
          <w:sz w:val="22"/>
          <w:shd w:fill="auto" w:val="clear"/>
        </w:rPr>
        <w:t xml:space="preserve">5. LUGAR:</w:t>
      </w:r>
      <w:r>
        <w:rPr>
          <w:rFonts w:ascii="Arial" w:hAnsi="Arial" w:cs="Arial" w:eastAsia="Arial"/>
          <w:b/>
          <w:i/>
          <w:color w:val="000000"/>
          <w:spacing w:val="0"/>
          <w:position w:val="0"/>
          <w:sz w:val="22"/>
          <w:shd w:fill="auto" w:val="clear"/>
        </w:rPr>
        <w:t xml:space="preserve"> </w:t>
      </w:r>
      <w:r>
        <w:rPr>
          <w:rFonts w:ascii="Arial" w:hAnsi="Arial" w:cs="Arial" w:eastAsia="Arial"/>
          <w:i/>
          <w:color w:val="000000"/>
          <w:spacing w:val="0"/>
          <w:position w:val="0"/>
          <w:sz w:val="22"/>
          <w:shd w:fill="auto" w:val="clear"/>
        </w:rPr>
        <w:t xml:space="preserve">(Sugiera un lugar de acuerdo al propósito de los CFG de salir de la propia Facultad)</w:t>
      </w:r>
    </w:p>
    <w:p>
      <w:pPr>
        <w:spacing w:before="0" w:after="0" w:line="240"/>
        <w:ind w:right="0" w:left="0" w:firstLine="0"/>
        <w:jc w:val="center"/>
        <w:rPr>
          <w:rFonts w:ascii="Arial" w:hAnsi="Arial" w:cs="Arial" w:eastAsia="Arial"/>
          <w:i/>
          <w:color w:val="000000"/>
          <w:spacing w:val="0"/>
          <w:position w:val="0"/>
          <w:sz w:val="22"/>
          <w:shd w:fill="auto" w:val="clear"/>
        </w:rPr>
      </w:pPr>
      <w:r>
        <w:rPr>
          <w:rFonts w:ascii="Arial" w:hAnsi="Arial" w:cs="Arial" w:eastAsia="Arial"/>
          <w:b/>
          <w:i/>
          <w:color w:val="000000"/>
          <w:spacing w:val="0"/>
          <w:position w:val="0"/>
          <w:sz w:val="22"/>
          <w:shd w:fill="auto" w:val="clear"/>
        </w:rPr>
        <w:t xml:space="preserve">Facultad de Ciencias, Campus Juan Gomez Millas</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both"/>
        <w:rPr>
          <w:rFonts w:ascii="Arial" w:hAnsi="Arial" w:cs="Arial" w:eastAsia="Arial"/>
          <w:i/>
          <w:color w:val="000000"/>
          <w:spacing w:val="0"/>
          <w:position w:val="0"/>
          <w:sz w:val="22"/>
          <w:shd w:fill="auto" w:val="clear"/>
        </w:rPr>
      </w:pPr>
      <w:r>
        <w:rPr>
          <w:rFonts w:ascii="Arial" w:hAnsi="Arial" w:cs="Arial" w:eastAsia="Arial"/>
          <w:b/>
          <w:color w:val="000000"/>
          <w:spacing w:val="0"/>
          <w:position w:val="0"/>
          <w:sz w:val="22"/>
          <w:shd w:fill="auto" w:val="clear"/>
        </w:rPr>
        <w:t xml:space="preserve">6. TIPO DE CRÉDITOS DE LA ASIGNATURA </w:t>
      </w:r>
      <w:r>
        <w:rPr>
          <w:rFonts w:ascii="Arial" w:hAnsi="Arial" w:cs="Arial" w:eastAsia="Arial"/>
          <w:i/>
          <w:color w:val="000000"/>
          <w:spacing w:val="0"/>
          <w:position w:val="0"/>
          <w:sz w:val="22"/>
          <w:shd w:fill="auto" w:val="clear"/>
        </w:rPr>
        <w:t xml:space="preserve">(Ya establecido para CFG transversales de la Universidad)</w:t>
      </w:r>
      <w:r>
        <w:rPr>
          <w:rFonts w:ascii="Arial" w:hAnsi="Arial" w:cs="Arial" w:eastAsia="Arial"/>
          <w:b/>
          <w:color w:val="000000"/>
          <w:spacing w:val="0"/>
          <w:position w:val="0"/>
          <w:sz w:val="22"/>
          <w:shd w:fill="auto" w:val="clear"/>
        </w:rPr>
        <w:t xml:space="preserve">:</w:t>
      </w:r>
    </w:p>
    <w:p>
      <w:pPr>
        <w:spacing w:before="0" w:after="0" w:line="240"/>
        <w:ind w:right="0" w:left="0" w:firstLine="0"/>
        <w:jc w:val="center"/>
        <w:rPr>
          <w:rFonts w:ascii="Arial" w:hAnsi="Arial" w:cs="Arial" w:eastAsia="Arial"/>
          <w:color w:val="000000"/>
          <w:spacing w:val="0"/>
          <w:position w:val="0"/>
          <w:sz w:val="22"/>
          <w:shd w:fill="auto" w:val="clear"/>
        </w:rPr>
      </w:pPr>
      <w:r>
        <w:rPr>
          <w:rFonts w:ascii="Arial" w:hAnsi="Arial" w:cs="Arial" w:eastAsia="Arial"/>
          <w:i/>
          <w:color w:val="000000"/>
          <w:spacing w:val="0"/>
          <w:position w:val="0"/>
          <w:sz w:val="22"/>
          <w:shd w:fill="auto" w:val="clear"/>
        </w:rPr>
        <w:t xml:space="preserve">SCT- Chile</w:t>
      </w:r>
    </w:p>
    <w:p>
      <w:pPr>
        <w:spacing w:before="0" w:after="0" w:line="240"/>
        <w:ind w:right="0" w:left="0" w:firstLine="0"/>
        <w:jc w:val="both"/>
        <w:rPr>
          <w:rFonts w:ascii="Arial" w:hAnsi="Arial" w:cs="Arial" w:eastAsia="Arial"/>
          <w:color w:val="000000"/>
          <w:spacing w:val="0"/>
          <w:position w:val="0"/>
          <w:sz w:val="22"/>
          <w:shd w:fill="auto" w:val="clear"/>
        </w:rPr>
      </w:pPr>
    </w:p>
    <w:p>
      <w:pPr>
        <w:spacing w:before="0" w:after="0" w:line="240"/>
        <w:ind w:right="0" w:left="0" w:firstLine="0"/>
        <w:jc w:val="both"/>
        <w:rPr>
          <w:rFonts w:ascii="Arial" w:hAnsi="Arial" w:cs="Arial" w:eastAsia="Arial"/>
          <w:i/>
          <w:color w:val="000000"/>
          <w:spacing w:val="0"/>
          <w:position w:val="0"/>
          <w:sz w:val="22"/>
          <w:shd w:fill="auto" w:val="clear"/>
        </w:rPr>
      </w:pPr>
      <w:r>
        <w:rPr>
          <w:rFonts w:ascii="Arial" w:hAnsi="Arial" w:cs="Arial" w:eastAsia="Arial"/>
          <w:b/>
          <w:color w:val="000000"/>
          <w:spacing w:val="0"/>
          <w:position w:val="0"/>
          <w:sz w:val="22"/>
          <w:shd w:fill="auto" w:val="clear"/>
        </w:rPr>
        <w:t xml:space="preserve">7. NÚMERO DE CRÉDITOS </w:t>
      </w:r>
      <w:r>
        <w:rPr>
          <w:rFonts w:ascii="Arial" w:hAnsi="Arial" w:cs="Arial" w:eastAsia="Arial"/>
          <w:i/>
          <w:color w:val="000000"/>
          <w:spacing w:val="0"/>
          <w:position w:val="0"/>
          <w:sz w:val="22"/>
          <w:shd w:fill="auto" w:val="clear"/>
        </w:rPr>
        <w:t xml:space="preserve">(Ya establecido de acuerdo al valor SCT – Chile para CFG transversales de la Universidad)</w:t>
      </w:r>
    </w:p>
    <w:p>
      <w:pPr>
        <w:spacing w:before="0" w:after="0" w:line="240"/>
        <w:ind w:right="0" w:left="0" w:firstLine="0"/>
        <w:jc w:val="center"/>
        <w:rPr>
          <w:rFonts w:ascii="Arial" w:hAnsi="Arial" w:cs="Arial" w:eastAsia="Arial"/>
          <w:color w:val="000000"/>
          <w:spacing w:val="0"/>
          <w:position w:val="0"/>
          <w:sz w:val="22"/>
          <w:shd w:fill="auto" w:val="clear"/>
        </w:rPr>
      </w:pPr>
      <w:r>
        <w:rPr>
          <w:rFonts w:ascii="Arial" w:hAnsi="Arial" w:cs="Arial" w:eastAsia="Arial"/>
          <w:i/>
          <w:color w:val="000000"/>
          <w:spacing w:val="0"/>
          <w:position w:val="0"/>
          <w:sz w:val="22"/>
          <w:shd w:fill="auto" w:val="clear"/>
        </w:rPr>
        <w:t xml:space="preserve">2 SCT - Chile</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both"/>
        <w:rPr>
          <w:rFonts w:ascii="Arial" w:hAnsi="Arial" w:cs="Arial" w:eastAsia="Arial"/>
          <w:i/>
          <w:color w:val="000000"/>
          <w:spacing w:val="0"/>
          <w:position w:val="0"/>
          <w:sz w:val="22"/>
          <w:shd w:fill="auto" w:val="clear"/>
        </w:rPr>
      </w:pPr>
      <w:r>
        <w:rPr>
          <w:rFonts w:ascii="Arial" w:hAnsi="Arial" w:cs="Arial" w:eastAsia="Arial"/>
          <w:b/>
          <w:color w:val="000000"/>
          <w:spacing w:val="0"/>
          <w:position w:val="0"/>
          <w:sz w:val="22"/>
          <w:shd w:fill="auto" w:val="clear"/>
        </w:rPr>
        <w:t xml:space="preserve">8. HORAS DE TRABAJO PRESENCIAL DEL CURSO </w:t>
      </w:r>
      <w:r>
        <w:rPr>
          <w:rFonts w:ascii="Arial" w:hAnsi="Arial" w:cs="Arial" w:eastAsia="Arial"/>
          <w:i/>
          <w:color w:val="000000"/>
          <w:spacing w:val="0"/>
          <w:position w:val="0"/>
          <w:sz w:val="22"/>
          <w:shd w:fill="auto" w:val="clear"/>
        </w:rPr>
        <w:t xml:space="preserve">(Ya establecido para CFG transversales en horas cronológicas semanales)</w:t>
      </w:r>
    </w:p>
    <w:p>
      <w:pPr>
        <w:spacing w:before="0" w:after="0" w:line="240"/>
        <w:ind w:right="0" w:left="0" w:firstLine="0"/>
        <w:jc w:val="center"/>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1 hora y media semanal</w:t>
      </w:r>
    </w:p>
    <w:p>
      <w:pPr>
        <w:spacing w:before="0" w:after="0" w:line="240"/>
        <w:ind w:right="0" w:left="0" w:firstLine="0"/>
        <w:jc w:val="both"/>
        <w:rPr>
          <w:rFonts w:ascii="Arial" w:hAnsi="Arial" w:cs="Arial" w:eastAsia="Arial"/>
          <w:color w:val="000000"/>
          <w:spacing w:val="0"/>
          <w:position w:val="0"/>
          <w:sz w:val="22"/>
          <w:shd w:fill="auto" w:val="clear"/>
        </w:rPr>
      </w:pPr>
    </w:p>
    <w:p>
      <w:pPr>
        <w:spacing w:before="0" w:after="0" w:line="240"/>
        <w:ind w:right="0" w:left="0" w:firstLine="0"/>
        <w:jc w:val="both"/>
        <w:rPr>
          <w:rFonts w:ascii="Arial" w:hAnsi="Arial" w:cs="Arial" w:eastAsia="Arial"/>
          <w:i/>
          <w:color w:val="000000"/>
          <w:spacing w:val="0"/>
          <w:position w:val="0"/>
          <w:sz w:val="22"/>
          <w:shd w:fill="auto" w:val="clear"/>
        </w:rPr>
      </w:pPr>
      <w:r>
        <w:rPr>
          <w:rFonts w:ascii="Arial" w:hAnsi="Arial" w:cs="Arial" w:eastAsia="Arial"/>
          <w:b/>
          <w:color w:val="000000"/>
          <w:spacing w:val="0"/>
          <w:position w:val="0"/>
          <w:sz w:val="22"/>
          <w:shd w:fill="auto" w:val="clear"/>
        </w:rPr>
        <w:t xml:space="preserve">9. HORAS DE TRABAJO NO PRESENCIAL DEL CURSO </w:t>
      </w:r>
      <w:r>
        <w:rPr>
          <w:rFonts w:ascii="Arial" w:hAnsi="Arial" w:cs="Arial" w:eastAsia="Arial"/>
          <w:i/>
          <w:color w:val="000000"/>
          <w:spacing w:val="0"/>
          <w:position w:val="0"/>
          <w:sz w:val="22"/>
          <w:shd w:fill="auto" w:val="clear"/>
        </w:rPr>
        <w:t xml:space="preserve">(Ya establecido para CFG transversales en horas cronológicas semanales)</w:t>
      </w:r>
    </w:p>
    <w:p>
      <w:pPr>
        <w:spacing w:before="0" w:after="0" w:line="240"/>
        <w:ind w:right="0" w:left="0" w:firstLine="0"/>
        <w:jc w:val="center"/>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1 hora y media semanal</w:t>
      </w:r>
    </w:p>
    <w:p>
      <w:pPr>
        <w:spacing w:before="0" w:after="0" w:line="240"/>
        <w:ind w:right="0" w:left="0" w:firstLine="0"/>
        <w:jc w:val="both"/>
        <w:rPr>
          <w:rFonts w:ascii="Arial" w:hAnsi="Arial" w:cs="Arial" w:eastAsia="Arial"/>
          <w:color w:val="000000"/>
          <w:spacing w:val="0"/>
          <w:position w:val="0"/>
          <w:sz w:val="22"/>
          <w:shd w:fill="auto" w:val="clear"/>
        </w:rPr>
      </w:pPr>
    </w:p>
    <w:p>
      <w:pPr>
        <w:spacing w:before="0" w:after="0" w:line="240"/>
        <w:ind w:right="0" w:left="0" w:firstLine="0"/>
        <w:jc w:val="both"/>
        <w:rPr>
          <w:rFonts w:ascii="Arial" w:hAnsi="Arial" w:cs="Arial" w:eastAsia="Arial"/>
          <w:i/>
          <w:color w:val="000000"/>
          <w:spacing w:val="0"/>
          <w:position w:val="0"/>
          <w:sz w:val="22"/>
          <w:shd w:fill="auto" w:val="clear"/>
        </w:rPr>
      </w:pPr>
      <w:r>
        <w:rPr>
          <w:rFonts w:ascii="Arial" w:hAnsi="Arial" w:cs="Arial" w:eastAsia="Arial"/>
          <w:b/>
          <w:color w:val="000000"/>
          <w:spacing w:val="0"/>
          <w:position w:val="0"/>
          <w:sz w:val="22"/>
          <w:shd w:fill="auto" w:val="clear"/>
        </w:rPr>
        <w:t xml:space="preserve">10. PROPÓSITO GENERAL DE LA ASIGNATURA </w:t>
      </w:r>
      <w:r>
        <w:rPr>
          <w:rFonts w:ascii="Arial" w:hAnsi="Arial" w:cs="Arial" w:eastAsia="Arial"/>
          <w:color w:val="000000"/>
          <w:spacing w:val="0"/>
          <w:position w:val="0"/>
          <w:sz w:val="22"/>
          <w:shd w:fill="auto" w:val="clear"/>
        </w:rPr>
        <w:t xml:space="preserve">(</w:t>
      </w:r>
      <w:r>
        <w:rPr>
          <w:rFonts w:ascii="Arial" w:hAnsi="Arial" w:cs="Arial" w:eastAsia="Arial"/>
          <w:i/>
          <w:color w:val="000000"/>
          <w:spacing w:val="0"/>
          <w:position w:val="0"/>
          <w:sz w:val="22"/>
          <w:shd w:fill="auto" w:val="clear"/>
        </w:rPr>
        <w:t xml:space="preserve">A partir de las competencias genéricas a las que este curso contribuye (que deberán definirse más abajo) y otras consideraciones relevantes para el equipo docente, por favor explicite el sentido de esta actividad curricular y el cómo contribuye a la formación de los estudiantes de la Universidad de Chile. Se sugiere un máximo de 25 líneas)</w:t>
      </w:r>
    </w:p>
    <w:p>
      <w:pPr>
        <w:spacing w:before="0" w:after="0" w:line="240"/>
        <w:ind w:right="0" w:left="0" w:firstLine="0"/>
        <w:jc w:val="both"/>
        <w:rPr>
          <w:rFonts w:ascii="Arial" w:hAnsi="Arial" w:cs="Arial" w:eastAsia="Arial"/>
          <w:i/>
          <w:color w:val="000000"/>
          <w:spacing w:val="0"/>
          <w:position w:val="0"/>
          <w:sz w:val="22"/>
          <w:shd w:fill="auto" w:val="clear"/>
        </w:rPr>
      </w:pPr>
    </w:p>
    <w:p>
      <w:pPr>
        <w:spacing w:before="100" w:after="24" w:line="360"/>
        <w:ind w:right="0" w:left="0" w:firstLine="0"/>
        <w:jc w:val="left"/>
        <w:rPr>
          <w:rFonts w:ascii="Arial" w:hAnsi="Arial" w:cs="Arial" w:eastAsia="Arial"/>
          <w:i/>
          <w:color w:val="252525"/>
          <w:spacing w:val="0"/>
          <w:position w:val="0"/>
          <w:sz w:val="22"/>
          <w:shd w:fill="FFFFFF" w:val="clear"/>
        </w:rPr>
      </w:pPr>
      <w:r>
        <w:rPr>
          <w:rFonts w:ascii="Arial" w:hAnsi="Arial" w:cs="Arial" w:eastAsia="Arial"/>
          <w:color w:val="000000"/>
          <w:spacing w:val="0"/>
          <w:position w:val="0"/>
          <w:sz w:val="22"/>
          <w:shd w:fill="FFFFFF" w:val="clear"/>
        </w:rPr>
        <w:t xml:space="preserve">“</w:t>
      </w:r>
      <w:r>
        <w:rPr>
          <w:rFonts w:ascii="Arial" w:hAnsi="Arial" w:cs="Arial" w:eastAsia="Arial"/>
          <w:i/>
          <w:color w:val="252525"/>
          <w:spacing w:val="0"/>
          <w:position w:val="0"/>
          <w:sz w:val="22"/>
          <w:shd w:fill="FFFFFF" w:val="clear"/>
        </w:rPr>
        <w:t xml:space="preserve">Blaise Pascal dijo alguna vez "Una de las principales enfermedades del hombre es su inquieta curiosidad por conocer lo que no puede llegar a saber. " a lo largo de la historia las preguntas respecto a múltiples fenómenos naturales y sociales han tenido respuestas gracias a la estrategia que es el método científico. La potencia de la Ciencia en la construcción cultural resulta tener un poder poco discutido que va desde la resolución de problemáticas sociales de ambiente, salud, energía o minería, hasta controversias mediáticas que son sobrepasadas velozmente en las agendas. Este curso pretende imbuirnos en las manifestaciones del poder de la ciencia y sus corpus, desde las perspectivas de las comunicaciones, la política y el arte. </w:t>
      </w:r>
    </w:p>
    <w:p>
      <w:pPr>
        <w:spacing w:before="100" w:after="24" w:line="360"/>
        <w:ind w:right="0" w:left="0" w:firstLine="0"/>
        <w:jc w:val="left"/>
        <w:rPr>
          <w:rFonts w:ascii="Arial" w:hAnsi="Arial" w:cs="Arial" w:eastAsia="Arial"/>
          <w:i/>
          <w:color w:val="252525"/>
          <w:spacing w:val="0"/>
          <w:position w:val="0"/>
          <w:sz w:val="22"/>
          <w:shd w:fill="FFFFFF" w:val="clear"/>
        </w:rPr>
      </w:pPr>
    </w:p>
    <w:p>
      <w:pPr>
        <w:spacing w:before="0" w:after="0" w:line="240"/>
        <w:ind w:right="0" w:left="0" w:firstLine="0"/>
        <w:jc w:val="both"/>
        <w:rPr>
          <w:rFonts w:ascii="Arial" w:hAnsi="Arial" w:cs="Arial" w:eastAsia="Arial"/>
          <w:color w:val="000000"/>
          <w:spacing w:val="0"/>
          <w:position w:val="0"/>
          <w:sz w:val="22"/>
          <w:shd w:fill="auto" w:val="clear"/>
        </w:rPr>
      </w:pPr>
      <w:r>
        <w:rPr>
          <w:rFonts w:ascii="Arial" w:hAnsi="Arial" w:cs="Arial" w:eastAsia="Arial"/>
          <w:i/>
          <w:color w:val="252525"/>
          <w:spacing w:val="0"/>
          <w:position w:val="0"/>
          <w:sz w:val="22"/>
          <w:shd w:fill="auto" w:val="clear"/>
        </w:rPr>
        <w:t xml:space="preserve">Este curso tiene por objetivo el reconocimiento de la ciencia como un agente de cambio cultural, de impacto social y de construcción ciudadana, a través de la elaboración crítica y tópica de productos de aprendizaje no-tradicionales, la problematización de objetos naturales y artificiales en una didáctica diseñada para el trabajo mancomunado, la formación de redes y el impacto público.</w:t>
      </w:r>
      <w:r>
        <w:rPr>
          <w:rFonts w:ascii="Arial" w:hAnsi="Arial" w:cs="Arial" w:eastAsia="Arial"/>
          <w:color w:val="000000"/>
          <w:spacing w:val="0"/>
          <w:position w:val="0"/>
          <w:sz w:val="22"/>
          <w:shd w:fill="auto" w:val="clear"/>
        </w:rPr>
        <w:t xml:space="preserve">” </w:t>
      </w:r>
    </w:p>
    <w:p>
      <w:pPr>
        <w:spacing w:before="0" w:after="0" w:line="240"/>
        <w:ind w:right="0" w:left="0" w:firstLine="0"/>
        <w:jc w:val="both"/>
        <w:rPr>
          <w:rFonts w:ascii="Arial" w:hAnsi="Arial" w:cs="Arial" w:eastAsia="Arial"/>
          <w:i/>
          <w:color w:val="000000"/>
          <w:spacing w:val="0"/>
          <w:position w:val="0"/>
          <w:sz w:val="22"/>
          <w:shd w:fill="auto" w:val="clear"/>
        </w:rPr>
      </w:pPr>
    </w:p>
    <w:p>
      <w:pPr>
        <w:spacing w:before="0" w:after="0" w:line="240"/>
        <w:ind w:right="0" w:left="0" w:firstLine="0"/>
        <w:jc w:val="both"/>
        <w:rPr>
          <w:rFonts w:ascii="Arial" w:hAnsi="Arial" w:cs="Arial" w:eastAsia="Arial"/>
          <w:i/>
          <w:color w:val="000000"/>
          <w:spacing w:val="0"/>
          <w:position w:val="0"/>
          <w:sz w:val="22"/>
          <w:shd w:fill="auto" w:val="clear"/>
        </w:rPr>
      </w:pPr>
      <w:r>
        <w:rPr>
          <w:rFonts w:ascii="Arial" w:hAnsi="Arial" w:cs="Arial" w:eastAsia="Arial"/>
          <w:b/>
          <w:color w:val="000000"/>
          <w:spacing w:val="0"/>
          <w:position w:val="0"/>
          <w:sz w:val="22"/>
          <w:shd w:fill="auto" w:val="clear"/>
        </w:rPr>
        <w:t xml:space="preserve"> 11. RESULTADOS DE APRENDIZAJE </w:t>
      </w:r>
      <w:r>
        <w:rPr>
          <w:rFonts w:ascii="Arial" w:hAnsi="Arial" w:cs="Arial" w:eastAsia="Arial"/>
          <w:i/>
          <w:color w:val="000000"/>
          <w:spacing w:val="0"/>
          <w:position w:val="0"/>
          <w:sz w:val="22"/>
          <w:shd w:fill="auto" w:val="clear"/>
        </w:rPr>
        <w:t xml:space="preserve">(Son un conjunto de enunciados que establecen lo que el estudiante “sabe hacer” en términos de procesos mentales o de actuaciones complejas de nivel superior al finalizar la asignatura. El conjunto de los Resultados de Aprendizaje deben dar cuenta del propósito la asignatura en términos de ser posibles de aprender y evidenciar su logro. A su vez, éstos se convierten en el compromiso formativo de excelencia de la unidad académica y del propio docente, en el sentido de propiciar su desarrollo y logro en TODOS sus estudiantes. La literatura recomienda que se establezcan entre 3 y 6 resultados de aprendizaje)</w:t>
      </w:r>
    </w:p>
    <w:p>
      <w:pPr>
        <w:spacing w:before="0" w:after="0" w:line="240"/>
        <w:ind w:right="0" w:left="0" w:firstLine="0"/>
        <w:jc w:val="both"/>
        <w:rPr>
          <w:rFonts w:ascii="Arial" w:hAnsi="Arial" w:cs="Arial" w:eastAsia="Arial"/>
          <w:i/>
          <w:color w:val="000000"/>
          <w:spacing w:val="0"/>
          <w:position w:val="0"/>
          <w:sz w:val="22"/>
          <w:shd w:fill="auto" w:val="clear"/>
        </w:rPr>
      </w:pPr>
    </w:p>
    <w:p>
      <w:pPr>
        <w:numPr>
          <w:ilvl w:val="0"/>
          <w:numId w:val="23"/>
        </w:numPr>
        <w:suppressAutoHyphens w:val="true"/>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Valorar el papel de la ciencia en la construcción de la ciudadanía activa y en la toma de decisiones en múltiples contextos.</w:t>
      </w:r>
    </w:p>
    <w:p>
      <w:pPr>
        <w:numPr>
          <w:ilvl w:val="0"/>
          <w:numId w:val="23"/>
        </w:numPr>
        <w:suppressAutoHyphens w:val="true"/>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Vincular experiencias ciéntificas a grandes sucesos mediáticos del siglo XX y XXI, centrados en la revolución tecnociéntifica (preconceptos)</w:t>
      </w:r>
    </w:p>
    <w:p>
      <w:pPr>
        <w:numPr>
          <w:ilvl w:val="0"/>
          <w:numId w:val="23"/>
        </w:numPr>
        <w:suppressAutoHyphens w:val="true"/>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Reconoce las teorías, postulados y visiones ciéntificas sobre la materia, la energia y la vida asociadas a manifestaciones artísticas</w:t>
      </w:r>
    </w:p>
    <w:p>
      <w:pPr>
        <w:numPr>
          <w:ilvl w:val="0"/>
          <w:numId w:val="23"/>
        </w:numPr>
        <w:suppressAutoHyphens w:val="true"/>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Elabora comunicaciones mediales en diversos formatos, valorando la construcción comunicativa de la Ciencia en el lenguaje social y educativo cotidiano </w:t>
      </w:r>
    </w:p>
    <w:p>
      <w:pPr>
        <w:numPr>
          <w:ilvl w:val="0"/>
          <w:numId w:val="23"/>
        </w:numPr>
        <w:suppressAutoHyphens w:val="true"/>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Compone productos escritos de carácter crítico y creativo, tanto grupal como individualmente, respecto a procesos históricos, sociales, culturales, políticos y revolucionarios de las ciencias naturales. </w:t>
      </w:r>
    </w:p>
    <w:p>
      <w:pPr>
        <w:suppressAutoHyphens w:val="true"/>
        <w:spacing w:before="0" w:after="0" w:line="240"/>
        <w:ind w:right="0" w:left="720" w:firstLine="0"/>
        <w:jc w:val="left"/>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i/>
          <w:color w:val="000000"/>
          <w:spacing w:val="0"/>
          <w:position w:val="0"/>
          <w:sz w:val="22"/>
          <w:shd w:fill="auto" w:val="clear"/>
        </w:rPr>
      </w:pPr>
      <w:r>
        <w:rPr>
          <w:rFonts w:ascii="Arial" w:hAnsi="Arial" w:cs="Arial" w:eastAsia="Arial"/>
          <w:b/>
          <w:color w:val="000000"/>
          <w:spacing w:val="0"/>
          <w:position w:val="0"/>
          <w:sz w:val="22"/>
          <w:shd w:fill="auto" w:val="clear"/>
        </w:rPr>
        <w:t xml:space="preserve">12. COMPETENCIAS </w:t>
      </w:r>
      <w:r>
        <w:rPr>
          <w:rFonts w:ascii="Arial" w:hAnsi="Arial" w:cs="Arial" w:eastAsia="Arial"/>
          <w:color w:val="000000"/>
          <w:spacing w:val="0"/>
          <w:position w:val="0"/>
          <w:sz w:val="22"/>
          <w:shd w:fill="auto" w:val="clear"/>
        </w:rPr>
        <w:t xml:space="preserve">(</w:t>
      </w:r>
      <w:r>
        <w:rPr>
          <w:rFonts w:ascii="Arial" w:hAnsi="Arial" w:cs="Arial" w:eastAsia="Arial"/>
          <w:i/>
          <w:color w:val="000000"/>
          <w:spacing w:val="0"/>
          <w:position w:val="0"/>
          <w:sz w:val="22"/>
          <w:shd w:fill="auto" w:val="clear"/>
        </w:rPr>
        <w:t xml:space="preserve">Por favor, identifique con una X aquella(s) competencia(s) genérica(s) que su curso se compromete a desarrollar considerando el propósito general del CFG. Para un curso de las características de un CFG, la elección no debiese ser mayor a  </w:t>
      </w:r>
      <w:r>
        <w:rPr>
          <w:rFonts w:ascii="Arial" w:hAnsi="Arial" w:cs="Arial" w:eastAsia="Arial"/>
          <w:b/>
          <w:i/>
          <w:color w:val="000000"/>
          <w:spacing w:val="0"/>
          <w:position w:val="0"/>
          <w:sz w:val="22"/>
          <w:shd w:fill="auto" w:val="clear"/>
        </w:rPr>
        <w:t xml:space="preserve">4 competencias</w:t>
      </w:r>
      <w:r>
        <w:rPr>
          <w:rFonts w:ascii="Arial" w:hAnsi="Arial" w:cs="Arial" w:eastAsia="Arial"/>
          <w:i/>
          <w:color w:val="000000"/>
          <w:spacing w:val="0"/>
          <w:position w:val="0"/>
          <w:sz w:val="22"/>
          <w:shd w:fill="auto" w:val="clear"/>
        </w:rPr>
        <w:t xml:space="preserve">. Ver documento Perfil CFG para encontrar estas competencias redactadas de forma compatible con el concepto de competencia con que trabaja la U. de Chile)</w:t>
      </w:r>
    </w:p>
    <w:p>
      <w:pPr>
        <w:spacing w:before="0" w:after="0" w:line="240"/>
        <w:ind w:right="0" w:left="0" w:firstLine="0"/>
        <w:jc w:val="both"/>
        <w:rPr>
          <w:rFonts w:ascii="Arial" w:hAnsi="Arial" w:cs="Arial" w:eastAsia="Arial"/>
          <w:i/>
          <w:color w:val="000000"/>
          <w:spacing w:val="0"/>
          <w:position w:val="0"/>
          <w:sz w:val="22"/>
          <w:shd w:fill="auto" w:val="clear"/>
        </w:rPr>
      </w:pPr>
    </w:p>
    <w:tbl>
      <w:tblPr/>
      <w:tblGrid>
        <w:gridCol w:w="1363"/>
        <w:gridCol w:w="8810"/>
      </w:tblGrid>
      <w:tr>
        <w:trPr>
          <w:trHeight w:val="296" w:hRule="auto"/>
          <w:jc w:val="left"/>
        </w:trPr>
        <w:tc>
          <w:tcPr>
            <w:tcW w:w="1363"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center"/>
              <w:rPr>
                <w:rFonts w:ascii="Arial" w:hAnsi="Arial" w:cs="Arial" w:eastAsia="Arial"/>
                <w:spacing w:val="0"/>
                <w:position w:val="0"/>
                <w:sz w:val="22"/>
                <w:shd w:fill="auto" w:val="clear"/>
              </w:rPr>
            </w:pPr>
            <w:r>
              <w:rPr>
                <w:rFonts w:ascii="Arial" w:hAnsi="Arial" w:cs="Arial" w:eastAsia="Arial"/>
                <w:b/>
                <w:color w:val="000000"/>
                <w:spacing w:val="0"/>
                <w:position w:val="0"/>
                <w:sz w:val="22"/>
                <w:shd w:fill="auto" w:val="clear"/>
              </w:rPr>
              <w:t xml:space="preserve">X</w:t>
            </w:r>
          </w:p>
        </w:tc>
        <w:tc>
          <w:tcPr>
            <w:tcW w:w="8810" w:type="dxa"/>
            <w:tcBorders>
              <w:top w:val="single" w:color="000000" w:sz="4"/>
              <w:left w:val="single" w:color="000000" w:sz="4"/>
              <w:bottom w:val="single" w:color="000000" w:sz="4"/>
              <w:right w:val="single" w:color="000000" w:sz="4"/>
            </w:tcBorders>
            <w:shd w:color="auto" w:fill="e6e6e6" w:val="clear"/>
            <w:tcMar>
              <w:left w:w="108" w:type="dxa"/>
              <w:right w:w="108" w:type="dxa"/>
            </w:tcMar>
            <w:vAlign w:val="top"/>
          </w:tcPr>
          <w:p>
            <w:pPr>
              <w:spacing w:before="0" w:after="0" w:line="240"/>
              <w:ind w:right="0" w:left="0" w:firstLine="0"/>
              <w:jc w:val="center"/>
              <w:rPr>
                <w:rFonts w:ascii="Arial" w:hAnsi="Arial" w:cs="Arial" w:eastAsia="Arial"/>
                <w:spacing w:val="0"/>
                <w:position w:val="0"/>
                <w:sz w:val="22"/>
                <w:shd w:fill="auto" w:val="clear"/>
              </w:rPr>
            </w:pPr>
            <w:r>
              <w:rPr>
                <w:rFonts w:ascii="Arial" w:hAnsi="Arial" w:cs="Arial" w:eastAsia="Arial"/>
                <w:b/>
                <w:color w:val="000000"/>
                <w:spacing w:val="0"/>
                <w:position w:val="0"/>
                <w:sz w:val="22"/>
                <w:shd w:fill="auto" w:val="clear"/>
              </w:rPr>
              <w:t xml:space="preserve">Competencias genéricas propuestas como parte del Sello U. de chile</w:t>
            </w:r>
          </w:p>
        </w:tc>
      </w:tr>
      <w:tr>
        <w:trPr>
          <w:trHeight w:val="176" w:hRule="auto"/>
          <w:jc w:val="left"/>
        </w:trPr>
        <w:tc>
          <w:tcPr>
            <w:tcW w:w="13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60" w:hanging="360"/>
              <w:jc w:val="center"/>
              <w:rPr>
                <w:rFonts w:ascii="Arial" w:hAnsi="Arial" w:cs="Arial" w:eastAsia="Arial"/>
                <w:spacing w:val="0"/>
                <w:position w:val="0"/>
                <w:sz w:val="22"/>
                <w:shd w:fill="auto" w:val="clear"/>
              </w:rPr>
            </w:pPr>
            <w:r>
              <w:rPr>
                <w:rFonts w:ascii="Arial" w:hAnsi="Arial" w:cs="Arial" w:eastAsia="Arial"/>
                <w:b/>
                <w:color w:val="000000"/>
                <w:spacing w:val="0"/>
                <w:position w:val="0"/>
                <w:sz w:val="22"/>
                <w:shd w:fill="auto" w:val="clear"/>
              </w:rPr>
              <w:t xml:space="preserve">X</w:t>
            </w:r>
          </w:p>
        </w:tc>
        <w:tc>
          <w:tcPr>
            <w:tcW w:w="8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60" w:hanging="360"/>
              <w:jc w:val="both"/>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 Responsabilidad social y compromiso ciudadano</w:t>
            </w:r>
          </w:p>
        </w:tc>
      </w:tr>
      <w:tr>
        <w:trPr>
          <w:trHeight w:val="270" w:hRule="auto"/>
          <w:jc w:val="left"/>
        </w:trPr>
        <w:tc>
          <w:tcPr>
            <w:tcW w:w="13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60" w:hanging="360"/>
              <w:jc w:val="center"/>
              <w:rPr>
                <w:rFonts w:ascii="Arial" w:hAnsi="Arial" w:cs="Arial" w:eastAsia="Arial"/>
                <w:spacing w:val="0"/>
                <w:position w:val="0"/>
                <w:sz w:val="22"/>
                <w:shd w:fill="auto" w:val="clear"/>
              </w:rPr>
            </w:pPr>
            <w:r>
              <w:rPr>
                <w:rFonts w:ascii="Arial" w:hAnsi="Arial" w:cs="Arial" w:eastAsia="Arial"/>
                <w:b/>
                <w:color w:val="000000"/>
                <w:spacing w:val="0"/>
                <w:position w:val="0"/>
                <w:sz w:val="22"/>
                <w:shd w:fill="auto" w:val="clear"/>
              </w:rPr>
              <w:t xml:space="preserve">X</w:t>
            </w:r>
          </w:p>
        </w:tc>
        <w:tc>
          <w:tcPr>
            <w:tcW w:w="8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60" w:hanging="360"/>
              <w:jc w:val="both"/>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 Capacidad crítica</w:t>
            </w:r>
          </w:p>
        </w:tc>
      </w:tr>
      <w:tr>
        <w:trPr>
          <w:trHeight w:val="229" w:hRule="auto"/>
          <w:jc w:val="left"/>
        </w:trPr>
        <w:tc>
          <w:tcPr>
            <w:tcW w:w="13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60" w:hanging="360"/>
              <w:jc w:val="center"/>
              <w:rPr>
                <w:rFonts w:ascii="Arial" w:hAnsi="Arial" w:cs="Arial" w:eastAsia="Arial"/>
                <w:color w:val="auto"/>
                <w:spacing w:val="0"/>
                <w:position w:val="0"/>
                <w:sz w:val="22"/>
                <w:shd w:fill="auto" w:val="clear"/>
              </w:rPr>
            </w:pPr>
          </w:p>
        </w:tc>
        <w:tc>
          <w:tcPr>
            <w:tcW w:w="8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60" w:hanging="360"/>
              <w:jc w:val="both"/>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 Capacidad autocrítica</w:t>
            </w:r>
          </w:p>
        </w:tc>
      </w:tr>
      <w:tr>
        <w:trPr>
          <w:trHeight w:val="175" w:hRule="auto"/>
          <w:jc w:val="left"/>
        </w:trPr>
        <w:tc>
          <w:tcPr>
            <w:tcW w:w="13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60" w:hanging="360"/>
              <w:jc w:val="center"/>
              <w:rPr>
                <w:rFonts w:ascii="Arial" w:hAnsi="Arial" w:cs="Arial" w:eastAsia="Arial"/>
                <w:color w:val="auto"/>
                <w:spacing w:val="0"/>
                <w:position w:val="0"/>
                <w:sz w:val="22"/>
                <w:shd w:fill="auto" w:val="clear"/>
              </w:rPr>
            </w:pPr>
          </w:p>
        </w:tc>
        <w:tc>
          <w:tcPr>
            <w:tcW w:w="88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360" w:hanging="360"/>
              <w:jc w:val="both"/>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 Compromiso ético</w:t>
            </w:r>
          </w:p>
        </w:tc>
      </w:tr>
      <w:tr>
        <w:trPr>
          <w:trHeight w:val="176" w:hRule="auto"/>
          <w:jc w:val="left"/>
        </w:trPr>
        <w:tc>
          <w:tcPr>
            <w:tcW w:w="13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60" w:hanging="360"/>
              <w:jc w:val="center"/>
              <w:rPr>
                <w:rFonts w:ascii="Arial" w:hAnsi="Arial" w:cs="Arial" w:eastAsia="Arial"/>
                <w:color w:val="auto"/>
                <w:spacing w:val="0"/>
                <w:position w:val="0"/>
                <w:sz w:val="22"/>
                <w:shd w:fill="auto" w:val="clear"/>
              </w:rPr>
            </w:pPr>
          </w:p>
        </w:tc>
        <w:tc>
          <w:tcPr>
            <w:tcW w:w="88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360" w:hanging="360"/>
              <w:jc w:val="both"/>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 Valoración y respeto por la diversidad y multiculturalidad</w:t>
            </w:r>
          </w:p>
        </w:tc>
      </w:tr>
      <w:tr>
        <w:trPr>
          <w:trHeight w:val="959" w:hRule="auto"/>
          <w:jc w:val="left"/>
        </w:trPr>
        <w:tc>
          <w:tcPr>
            <w:tcW w:w="13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60" w:hanging="360"/>
              <w:jc w:val="center"/>
              <w:rPr>
                <w:rFonts w:ascii="Arial" w:hAnsi="Arial" w:cs="Arial" w:eastAsia="Arial"/>
                <w:color w:val="auto"/>
                <w:spacing w:val="0"/>
                <w:position w:val="0"/>
                <w:sz w:val="22"/>
                <w:shd w:fill="auto" w:val="clear"/>
              </w:rPr>
            </w:pPr>
          </w:p>
        </w:tc>
        <w:tc>
          <w:tcPr>
            <w:tcW w:w="88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360" w:hanging="360"/>
              <w:jc w:val="both"/>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 Compromiso con la preservación del medio ambiente</w:t>
            </w:r>
          </w:p>
        </w:tc>
      </w:tr>
      <w:tr>
        <w:trPr>
          <w:trHeight w:val="175" w:hRule="auto"/>
          <w:jc w:val="left"/>
        </w:trPr>
        <w:tc>
          <w:tcPr>
            <w:tcW w:w="13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60" w:hanging="360"/>
              <w:jc w:val="center"/>
              <w:rPr>
                <w:rFonts w:ascii="Arial" w:hAnsi="Arial" w:cs="Arial" w:eastAsia="Arial"/>
                <w:spacing w:val="0"/>
                <w:position w:val="0"/>
                <w:sz w:val="22"/>
                <w:shd w:fill="auto" w:val="clear"/>
              </w:rPr>
            </w:pPr>
            <w:r>
              <w:rPr>
                <w:rFonts w:ascii="Arial" w:hAnsi="Arial" w:cs="Arial" w:eastAsia="Arial"/>
                <w:b/>
                <w:color w:val="000000"/>
                <w:spacing w:val="0"/>
                <w:position w:val="0"/>
                <w:sz w:val="22"/>
                <w:shd w:fill="auto" w:val="clear"/>
              </w:rPr>
              <w:t xml:space="preserve">X</w:t>
            </w:r>
          </w:p>
        </w:tc>
        <w:tc>
          <w:tcPr>
            <w:tcW w:w="8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60" w:hanging="360"/>
              <w:jc w:val="both"/>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 Capacidad de trabajo en equipo</w:t>
            </w:r>
          </w:p>
        </w:tc>
      </w:tr>
      <w:tr>
        <w:trPr>
          <w:trHeight w:val="176" w:hRule="auto"/>
          <w:jc w:val="left"/>
        </w:trPr>
        <w:tc>
          <w:tcPr>
            <w:tcW w:w="13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60" w:hanging="360"/>
              <w:jc w:val="center"/>
              <w:rPr>
                <w:rFonts w:ascii="Arial" w:hAnsi="Arial" w:cs="Arial" w:eastAsia="Arial"/>
                <w:color w:val="auto"/>
                <w:spacing w:val="0"/>
                <w:position w:val="0"/>
                <w:sz w:val="22"/>
                <w:shd w:fill="auto" w:val="clear"/>
              </w:rPr>
            </w:pPr>
          </w:p>
        </w:tc>
        <w:tc>
          <w:tcPr>
            <w:tcW w:w="8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60" w:hanging="360"/>
              <w:jc w:val="both"/>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 Capacidad de comunicación oral</w:t>
            </w:r>
          </w:p>
        </w:tc>
      </w:tr>
      <w:tr>
        <w:trPr>
          <w:trHeight w:val="175" w:hRule="auto"/>
          <w:jc w:val="left"/>
        </w:trPr>
        <w:tc>
          <w:tcPr>
            <w:tcW w:w="13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60" w:hanging="360"/>
              <w:jc w:val="center"/>
              <w:rPr>
                <w:rFonts w:ascii="Arial" w:hAnsi="Arial" w:cs="Arial" w:eastAsia="Arial"/>
                <w:color w:val="auto"/>
                <w:spacing w:val="0"/>
                <w:position w:val="0"/>
                <w:sz w:val="22"/>
                <w:shd w:fill="auto" w:val="clear"/>
              </w:rPr>
            </w:pPr>
          </w:p>
        </w:tc>
        <w:tc>
          <w:tcPr>
            <w:tcW w:w="8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60" w:hanging="360"/>
              <w:jc w:val="both"/>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 Capacidad de comunicación escrita</w:t>
            </w:r>
          </w:p>
        </w:tc>
      </w:tr>
      <w:tr>
        <w:trPr>
          <w:trHeight w:val="232" w:hRule="auto"/>
          <w:jc w:val="left"/>
        </w:trPr>
        <w:tc>
          <w:tcPr>
            <w:tcW w:w="13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60" w:hanging="360"/>
              <w:jc w:val="center"/>
              <w:rPr>
                <w:rFonts w:ascii="Arial" w:hAnsi="Arial" w:cs="Arial" w:eastAsia="Arial"/>
                <w:color w:val="auto"/>
                <w:spacing w:val="0"/>
                <w:position w:val="0"/>
                <w:sz w:val="22"/>
                <w:shd w:fill="auto" w:val="clear"/>
              </w:rPr>
            </w:pPr>
          </w:p>
        </w:tc>
        <w:tc>
          <w:tcPr>
            <w:tcW w:w="8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60" w:hanging="360"/>
              <w:jc w:val="both"/>
              <w:rPr>
                <w:rFonts w:ascii="Arial" w:hAnsi="Arial" w:cs="Arial" w:eastAsia="Arial"/>
                <w:spacing w:val="0"/>
                <w:position w:val="0"/>
                <w:sz w:val="22"/>
                <w:shd w:fill="auto" w:val="clear"/>
              </w:rPr>
            </w:pPr>
            <w:r>
              <w:rPr>
                <w:rFonts w:ascii="Arial" w:hAnsi="Arial" w:cs="Arial" w:eastAsia="Arial"/>
                <w:color w:val="000000"/>
                <w:spacing w:val="0"/>
                <w:position w:val="0"/>
                <w:sz w:val="22"/>
                <w:shd w:fill="auto" w:val="clear"/>
              </w:rPr>
              <w:t xml:space="preserve">- Habilidades en el uso de las tecnologías de la información y de la comunicación</w:t>
            </w:r>
          </w:p>
        </w:tc>
      </w:tr>
    </w:tbl>
    <w:p>
      <w:pPr>
        <w:spacing w:before="0" w:after="0" w:line="240"/>
        <w:ind w:right="0" w:left="0" w:firstLine="0"/>
        <w:jc w:val="both"/>
        <w:rPr>
          <w:rFonts w:ascii="Arial" w:hAnsi="Arial" w:cs="Arial" w:eastAsia="Arial"/>
          <w:color w:val="000000"/>
          <w:spacing w:val="0"/>
          <w:position w:val="0"/>
          <w:sz w:val="22"/>
          <w:shd w:fill="auto" w:val="clear"/>
        </w:rPr>
      </w:pPr>
    </w:p>
    <w:p>
      <w:pPr>
        <w:spacing w:before="0" w:after="0" w:line="240"/>
        <w:ind w:right="0" w:left="0" w:firstLine="0"/>
        <w:jc w:val="both"/>
        <w:rPr>
          <w:rFonts w:ascii="Arial" w:hAnsi="Arial" w:cs="Arial" w:eastAsia="Arial"/>
          <w:b/>
          <w:color w:val="000000"/>
          <w:spacing w:val="0"/>
          <w:position w:val="0"/>
          <w:sz w:val="22"/>
          <w:shd w:fill="auto" w:val="clear"/>
        </w:rPr>
      </w:pPr>
    </w:p>
    <w:p>
      <w:pPr>
        <w:spacing w:before="0" w:after="0" w:line="240"/>
        <w:ind w:right="0" w:left="0" w:firstLine="0"/>
        <w:jc w:val="both"/>
        <w:rPr>
          <w:rFonts w:ascii="Arial" w:hAnsi="Arial" w:cs="Arial" w:eastAsia="Arial"/>
          <w:i/>
          <w:color w:val="000000"/>
          <w:spacing w:val="0"/>
          <w:position w:val="0"/>
          <w:sz w:val="22"/>
          <w:shd w:fill="auto" w:val="clear"/>
        </w:rPr>
      </w:pPr>
      <w:r>
        <w:rPr>
          <w:rFonts w:ascii="Arial" w:hAnsi="Arial" w:cs="Arial" w:eastAsia="Arial"/>
          <w:b/>
          <w:color w:val="000000"/>
          <w:spacing w:val="0"/>
          <w:position w:val="0"/>
          <w:sz w:val="22"/>
          <w:shd w:fill="auto" w:val="clear"/>
        </w:rPr>
        <w:t xml:space="preserve">13. SABERES / CONTENIDOS </w:t>
      </w:r>
      <w:r>
        <w:rPr>
          <w:rFonts w:ascii="Arial" w:hAnsi="Arial" w:cs="Arial" w:eastAsia="Arial"/>
          <w:color w:val="000000"/>
          <w:spacing w:val="0"/>
          <w:position w:val="0"/>
          <w:sz w:val="22"/>
          <w:shd w:fill="auto" w:val="clear"/>
        </w:rPr>
        <w:t xml:space="preserve">(</w:t>
      </w:r>
      <w:r>
        <w:rPr>
          <w:rFonts w:ascii="Arial" w:hAnsi="Arial" w:cs="Arial" w:eastAsia="Arial"/>
          <w:i/>
          <w:color w:val="000000"/>
          <w:spacing w:val="0"/>
          <w:position w:val="0"/>
          <w:sz w:val="22"/>
          <w:shd w:fill="auto" w:val="clear"/>
        </w:rPr>
        <w:t xml:space="preserve">Corresponde a los saberes / contenidos pertinentes y suficientes para el logro de los Resultados de Aprendizaje de la Asignatura. Puede ingresar cuantos contenidos quiera sin necesidad de explicar cada uno, ya que supone que el solo enunciado del saber a tratar con sus estudiantes es suficiente para entender la materia a abordar.)</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center"/>
        <w:rPr>
          <w:rFonts w:ascii="Arial" w:hAnsi="Arial" w:cs="Arial" w:eastAsia="Arial"/>
          <w:b/>
          <w:i/>
          <w:color w:val="auto"/>
          <w:spacing w:val="0"/>
          <w:position w:val="0"/>
          <w:sz w:val="22"/>
          <w:shd w:fill="auto" w:val="clear"/>
        </w:rPr>
      </w:pPr>
      <w:r>
        <w:rPr>
          <w:rFonts w:ascii="Arial" w:hAnsi="Arial" w:cs="Arial" w:eastAsia="Arial"/>
          <w:b/>
          <w:i/>
          <w:color w:val="auto"/>
          <w:spacing w:val="0"/>
          <w:position w:val="0"/>
          <w:sz w:val="22"/>
          <w:shd w:fill="auto" w:val="clear"/>
        </w:rPr>
        <w:t xml:space="preserve">Modulo I: La ideología del científico: Política y Ciencia (5 sesiones)</w:t>
      </w:r>
    </w:p>
    <w:p>
      <w:pPr>
        <w:numPr>
          <w:ilvl w:val="0"/>
          <w:numId w:val="71"/>
        </w:numPr>
        <w:spacing w:before="0" w:after="0" w:line="24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Definición de Ciencia y de poder. El poder político y el poder científico. Revisión a Weber. </w:t>
      </w:r>
    </w:p>
    <w:p>
      <w:pPr>
        <w:numPr>
          <w:ilvl w:val="0"/>
          <w:numId w:val="71"/>
        </w:numPr>
        <w:spacing w:before="0" w:after="0" w:line="24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El método y los límites de la validez ciéntifica</w:t>
      </w:r>
    </w:p>
    <w:p>
      <w:pPr>
        <w:numPr>
          <w:ilvl w:val="0"/>
          <w:numId w:val="71"/>
        </w:numPr>
        <w:spacing w:before="0" w:after="0" w:line="24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Conflictos y Autoridad Cientifica</w:t>
      </w:r>
    </w:p>
    <w:p>
      <w:pPr>
        <w:numPr>
          <w:ilvl w:val="0"/>
          <w:numId w:val="71"/>
        </w:numPr>
        <w:spacing w:before="0" w:after="0" w:line="24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Estado, Sociedad y Ciencia. Relaciones entre actores e institucionalidad político-administrativa nacional.</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center"/>
        <w:rPr>
          <w:rFonts w:ascii="Arial" w:hAnsi="Arial" w:cs="Arial" w:eastAsia="Arial"/>
          <w:color w:val="000000"/>
          <w:spacing w:val="0"/>
          <w:position w:val="0"/>
          <w:sz w:val="22"/>
          <w:shd w:fill="auto" w:val="clear"/>
        </w:rPr>
      </w:pPr>
      <w:r>
        <w:rPr>
          <w:rFonts w:ascii="Arial" w:hAnsi="Arial" w:cs="Arial" w:eastAsia="Arial"/>
          <w:b/>
          <w:i/>
          <w:color w:val="auto"/>
          <w:spacing w:val="0"/>
          <w:position w:val="0"/>
          <w:sz w:val="22"/>
          <w:shd w:fill="auto" w:val="clear"/>
        </w:rPr>
        <w:t xml:space="preserve">Modulo II: La creatividad de las hipótesis: Arte y Ciencia (5 sesiones)</w:t>
      </w:r>
    </w:p>
    <w:p>
      <w:pPr>
        <w:numPr>
          <w:ilvl w:val="0"/>
          <w:numId w:val="74"/>
        </w:numPr>
        <w:spacing w:before="0" w:after="0" w:line="24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Percepciones sociales de la ciencia. Construcción cultural de la Ciencia</w:t>
      </w:r>
    </w:p>
    <w:p>
      <w:pPr>
        <w:numPr>
          <w:ilvl w:val="0"/>
          <w:numId w:val="74"/>
        </w:numPr>
        <w:spacing w:before="0" w:after="0" w:line="24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Corrientes artísticas: Técnica y razón desde una visión científica. De la Ciencia al arte. </w:t>
      </w:r>
    </w:p>
    <w:p>
      <w:pPr>
        <w:numPr>
          <w:ilvl w:val="0"/>
          <w:numId w:val="74"/>
        </w:numPr>
        <w:spacing w:before="0" w:after="0" w:line="24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Nuevas vanguardias asociadas a fenomenales revoluciones en el Siglo XX. Del Arte a la Ciencia</w:t>
      </w:r>
    </w:p>
    <w:p>
      <w:pPr>
        <w:numPr>
          <w:ilvl w:val="0"/>
          <w:numId w:val="74"/>
        </w:numPr>
        <w:spacing w:before="0" w:after="0" w:line="24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Construcción del espacio urbano en torno a problemáticas ciéntificas. </w:t>
      </w:r>
    </w:p>
    <w:p>
      <w:pPr>
        <w:numPr>
          <w:ilvl w:val="0"/>
          <w:numId w:val="74"/>
        </w:numPr>
        <w:spacing w:before="0" w:after="0" w:line="24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Intervención del Espacio Urbano con Ciencia y Arte</w:t>
      </w:r>
    </w:p>
    <w:p>
      <w:pPr>
        <w:spacing w:before="0" w:after="0" w:line="240"/>
        <w:ind w:right="0" w:left="360" w:firstLine="0"/>
        <w:jc w:val="left"/>
        <w:rPr>
          <w:rFonts w:ascii="Arial" w:hAnsi="Arial" w:cs="Arial" w:eastAsia="Arial"/>
          <w:color w:val="000000"/>
          <w:spacing w:val="0"/>
          <w:position w:val="0"/>
          <w:sz w:val="22"/>
          <w:shd w:fill="auto" w:val="clear"/>
        </w:rPr>
      </w:pPr>
    </w:p>
    <w:p>
      <w:pPr>
        <w:spacing w:before="0" w:after="0" w:line="240"/>
        <w:ind w:right="0" w:left="0" w:firstLine="0"/>
        <w:jc w:val="center"/>
        <w:rPr>
          <w:rFonts w:ascii="Arial" w:hAnsi="Arial" w:cs="Arial" w:eastAsia="Arial"/>
          <w:b/>
          <w:i/>
          <w:color w:val="000000"/>
          <w:spacing w:val="0"/>
          <w:position w:val="0"/>
          <w:sz w:val="22"/>
          <w:shd w:fill="auto" w:val="clear"/>
        </w:rPr>
      </w:pPr>
      <w:r>
        <w:rPr>
          <w:rFonts w:ascii="Arial" w:hAnsi="Arial" w:cs="Arial" w:eastAsia="Arial"/>
          <w:b/>
          <w:i/>
          <w:color w:val="000000"/>
          <w:spacing w:val="0"/>
          <w:position w:val="0"/>
          <w:sz w:val="22"/>
          <w:shd w:fill="auto" w:val="clear"/>
        </w:rPr>
        <w:t xml:space="preserve">Modulo III: Los mensajes del laboratorista: Comunicación y Ciencia (5 sesiones)</w:t>
      </w:r>
    </w:p>
    <w:p>
      <w:pPr>
        <w:numPr>
          <w:ilvl w:val="0"/>
          <w:numId w:val="77"/>
        </w:numPr>
        <w:spacing w:before="0" w:after="0" w:line="24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Construcción del significado en la comunicación ciéntifica. El papel del periodismo como cuarto poder </w:t>
      </w:r>
    </w:p>
    <w:p>
      <w:pPr>
        <w:numPr>
          <w:ilvl w:val="0"/>
          <w:numId w:val="77"/>
        </w:numPr>
        <w:spacing w:before="0" w:after="0" w:line="24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Comunicación entre ciéntificos. Formatos, modelos y relaciones</w:t>
      </w:r>
    </w:p>
    <w:p>
      <w:pPr>
        <w:numPr>
          <w:ilvl w:val="0"/>
          <w:numId w:val="77"/>
        </w:numPr>
        <w:spacing w:before="0" w:after="0" w:line="24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Fuentes cientificas de información y validación del conocimiento. Diversos tipos de discurso en los cuales se puede presentar la ciencia y su relación con plataformas digitales. (e.g. Wikipedia)</w:t>
      </w:r>
    </w:p>
    <w:p>
      <w:pPr>
        <w:numPr>
          <w:ilvl w:val="0"/>
          <w:numId w:val="77"/>
        </w:numPr>
        <w:spacing w:before="0" w:after="0" w:line="24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El personaje como ejemplo de la idea. Imaginarios sociales de la Ciencia (personificaciones)</w:t>
      </w:r>
    </w:p>
    <w:p>
      <w:pPr>
        <w:numPr>
          <w:ilvl w:val="0"/>
          <w:numId w:val="77"/>
        </w:numPr>
        <w:spacing w:before="0" w:after="0" w:line="24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Comunicación de la Ciencia Chilena. Necesidades y desafíos. </w:t>
      </w:r>
    </w:p>
    <w:p>
      <w:pPr>
        <w:spacing w:before="0" w:after="0" w:line="240"/>
        <w:ind w:right="0" w:left="36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b/>
          <w:i/>
          <w:color w:val="auto"/>
          <w:spacing w:val="0"/>
          <w:position w:val="0"/>
          <w:sz w:val="22"/>
          <w:shd w:fill="auto" w:val="clear"/>
        </w:rPr>
      </w:pPr>
      <w:r>
        <w:rPr>
          <w:rFonts w:ascii="Arial" w:hAnsi="Arial" w:cs="Arial" w:eastAsia="Arial"/>
          <w:b/>
          <w:color w:val="000000"/>
          <w:spacing w:val="0"/>
          <w:position w:val="0"/>
          <w:sz w:val="22"/>
          <w:shd w:fill="auto" w:val="clear"/>
        </w:rPr>
        <w:t xml:space="preserve">Cierre del Curso: </w:t>
      </w:r>
      <w:r>
        <w:rPr>
          <w:rFonts w:ascii="Arial" w:hAnsi="Arial" w:cs="Arial" w:eastAsia="Arial"/>
          <w:color w:val="000000"/>
          <w:spacing w:val="0"/>
          <w:position w:val="0"/>
          <w:sz w:val="22"/>
          <w:shd w:fill="auto" w:val="clear"/>
        </w:rPr>
        <w:t xml:space="preserve">Muestra de productos con curatorial en sala de Exposición. (Sesión especial de cierre)</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b/>
          <w:color w:val="000000"/>
          <w:spacing w:val="0"/>
          <w:position w:val="0"/>
          <w:sz w:val="22"/>
          <w:shd w:fill="auto" w:val="clear"/>
        </w:rPr>
      </w:pPr>
    </w:p>
    <w:p>
      <w:pPr>
        <w:spacing w:before="0" w:after="0" w:line="240"/>
        <w:ind w:right="0" w:left="0" w:firstLine="0"/>
        <w:jc w:val="both"/>
        <w:rPr>
          <w:rFonts w:ascii="Arial" w:hAnsi="Arial" w:cs="Arial" w:eastAsia="Arial"/>
          <w:i/>
          <w:color w:val="000000"/>
          <w:spacing w:val="0"/>
          <w:position w:val="0"/>
          <w:sz w:val="22"/>
          <w:shd w:fill="auto" w:val="clear"/>
        </w:rPr>
      </w:pPr>
      <w:r>
        <w:rPr>
          <w:rFonts w:ascii="Arial" w:hAnsi="Arial" w:cs="Arial" w:eastAsia="Arial"/>
          <w:b/>
          <w:color w:val="000000"/>
          <w:spacing w:val="0"/>
          <w:position w:val="0"/>
          <w:sz w:val="22"/>
          <w:shd w:fill="auto" w:val="clear"/>
        </w:rPr>
        <w:t xml:space="preserve">14. METODOLOGÍA </w:t>
      </w:r>
      <w:r>
        <w:rPr>
          <w:rFonts w:ascii="Arial" w:hAnsi="Arial" w:cs="Arial" w:eastAsia="Arial"/>
          <w:i/>
          <w:color w:val="000000"/>
          <w:spacing w:val="0"/>
          <w:position w:val="0"/>
          <w:sz w:val="22"/>
          <w:shd w:fill="auto" w:val="clear"/>
        </w:rPr>
        <w:t xml:space="preserve">(Descripción breve de las principales estrategias metodológicas que se desplegarán en el curso, pertinentes para alcanzar los Resultados de Aprendizaje (por ejemplo: clase expositiva, lecturas, resolución de problemas, estudio de caso, proyectos, etc.). Indicar situaciones especiales en el formato del curso, como salidas a terreno, ayudantías de asistencia obligatoria, etc.)</w:t>
      </w:r>
    </w:p>
    <w:p>
      <w:pPr>
        <w:spacing w:before="0" w:after="0" w:line="240"/>
        <w:ind w:right="0" w:left="0" w:firstLine="0"/>
        <w:jc w:val="both"/>
        <w:rPr>
          <w:rFonts w:ascii="Arial" w:hAnsi="Arial" w:cs="Arial" w:eastAsia="Arial"/>
          <w:i/>
          <w:color w:val="000000"/>
          <w:spacing w:val="0"/>
          <w:position w:val="0"/>
          <w:sz w:val="22"/>
          <w:shd w:fill="auto" w:val="clear"/>
        </w:rPr>
      </w:pPr>
    </w:p>
    <w:p>
      <w:pPr>
        <w:spacing w:before="0" w:after="0" w:line="240"/>
        <w:ind w:right="0" w:left="0" w:firstLine="0"/>
        <w:jc w:val="left"/>
        <w:rPr>
          <w:rFonts w:ascii="Arial" w:hAnsi="Arial" w:cs="Arial" w:eastAsia="Arial"/>
          <w:i/>
          <w:color w:val="000000"/>
          <w:spacing w:val="0"/>
          <w:position w:val="0"/>
          <w:sz w:val="22"/>
          <w:shd w:fill="auto" w:val="clear"/>
        </w:rPr>
      </w:pPr>
      <w:r>
        <w:rPr>
          <w:rFonts w:ascii="Arial" w:hAnsi="Arial" w:cs="Arial" w:eastAsia="Arial"/>
          <w:i/>
          <w:color w:val="000000"/>
          <w:spacing w:val="0"/>
          <w:position w:val="0"/>
          <w:sz w:val="22"/>
          <w:shd w:fill="auto" w:val="clear"/>
        </w:rPr>
        <w:t xml:space="preserve">La metodología del curso será basada en equipos dinámicos de dos, tres, cuatro u ocho estudiantes, los cuales explorarán semanalmente desafíos a producirse dentro de la clase. Los ejes del curso son: Comunicación, Política y Arte, cada cual será abordado con una clase introductoria donde se discutirán los principales conceptos asociados, para luego tener dos clases de profundización con casos y productos, apoyados por lecturas previas. Finalmente, las dos semanas de cada módulo se desarrollará un proyecto mayor (en cantidad de integrantes, como en dificultad) que tendrá énfasis en la aplicación de conceptos y estrategias discutidas en las clases. La metodología del curso será totalmente activa.</w:t>
      </w:r>
    </w:p>
    <w:p>
      <w:pPr>
        <w:spacing w:before="0" w:after="0" w:line="240"/>
        <w:ind w:right="0" w:left="0" w:firstLine="0"/>
        <w:jc w:val="both"/>
        <w:rPr>
          <w:rFonts w:ascii="Arial" w:hAnsi="Arial" w:cs="Arial" w:eastAsia="Arial"/>
          <w:b/>
          <w:color w:val="000000"/>
          <w:spacing w:val="0"/>
          <w:position w:val="0"/>
          <w:sz w:val="22"/>
          <w:shd w:fill="auto" w:val="clear"/>
        </w:rPr>
      </w:pPr>
    </w:p>
    <w:p>
      <w:pPr>
        <w:spacing w:before="0" w:after="0" w:line="240"/>
        <w:ind w:right="0" w:left="0" w:firstLine="0"/>
        <w:jc w:val="both"/>
        <w:rPr>
          <w:rFonts w:ascii="Arial" w:hAnsi="Arial" w:cs="Arial" w:eastAsia="Arial"/>
          <w:b/>
          <w:color w:val="000000"/>
          <w:spacing w:val="0"/>
          <w:position w:val="0"/>
          <w:sz w:val="22"/>
          <w:shd w:fill="auto" w:val="clear"/>
        </w:rPr>
      </w:pPr>
    </w:p>
    <w:p>
      <w:pPr>
        <w:spacing w:before="0" w:after="0" w:line="240"/>
        <w:ind w:right="0" w:left="0" w:firstLine="0"/>
        <w:jc w:val="both"/>
        <w:rPr>
          <w:rFonts w:ascii="Arial" w:hAnsi="Arial" w:cs="Arial" w:eastAsia="Arial"/>
          <w:i/>
          <w:color w:val="000000"/>
          <w:spacing w:val="0"/>
          <w:position w:val="0"/>
          <w:sz w:val="22"/>
          <w:shd w:fill="auto" w:val="clear"/>
        </w:rPr>
      </w:pPr>
      <w:r>
        <w:rPr>
          <w:rFonts w:ascii="Arial" w:hAnsi="Arial" w:cs="Arial" w:eastAsia="Arial"/>
          <w:b/>
          <w:color w:val="000000"/>
          <w:spacing w:val="0"/>
          <w:position w:val="0"/>
          <w:sz w:val="22"/>
          <w:shd w:fill="auto" w:val="clear"/>
        </w:rPr>
        <w:t xml:space="preserve">15. METODOLOGÍAS DE EVALUACIÓN </w:t>
      </w:r>
      <w:r>
        <w:rPr>
          <w:rFonts w:ascii="Arial" w:hAnsi="Arial" w:cs="Arial" w:eastAsia="Arial"/>
          <w:i/>
          <w:color w:val="000000"/>
          <w:spacing w:val="0"/>
          <w:position w:val="0"/>
          <w:sz w:val="22"/>
          <w:shd w:fill="auto" w:val="clear"/>
        </w:rPr>
        <w:t xml:space="preserve">(Descripción breve de las principales herramientas y situaciones de evaluación que den cuenta del logro de los Resultados de Aprendizaje (por ejemplo: pruebas escritas de diversos tipos, reportes grupales, examen oral, confección de material, nota por asistencia etc. Establecer ponderación - % - para cada una de ellas. Para CFG, se deberán establecer al menos 3 notas parciales)</w:t>
      </w:r>
    </w:p>
    <w:p>
      <w:pPr>
        <w:spacing w:before="0" w:after="0" w:line="240"/>
        <w:ind w:right="0" w:left="0" w:firstLine="0"/>
        <w:jc w:val="both"/>
        <w:rPr>
          <w:rFonts w:ascii="Arial" w:hAnsi="Arial" w:cs="Arial" w:eastAsia="Arial"/>
          <w:i/>
          <w:color w:val="000000"/>
          <w:spacing w:val="0"/>
          <w:position w:val="0"/>
          <w:sz w:val="22"/>
          <w:shd w:fill="auto" w:val="clear"/>
        </w:rPr>
      </w:pPr>
    </w:p>
    <w:p>
      <w:pPr>
        <w:spacing w:before="0" w:after="0" w:line="240"/>
        <w:ind w:right="0" w:left="0" w:firstLine="0"/>
        <w:jc w:val="both"/>
        <w:rPr>
          <w:rFonts w:ascii="Arial" w:hAnsi="Arial" w:cs="Arial" w:eastAsia="Arial"/>
          <w:i/>
          <w:color w:val="000000"/>
          <w:spacing w:val="0"/>
          <w:position w:val="0"/>
          <w:sz w:val="22"/>
          <w:shd w:fill="auto" w:val="clear"/>
        </w:rPr>
      </w:pPr>
      <w:r>
        <w:rPr>
          <w:rFonts w:ascii="Arial" w:hAnsi="Arial" w:cs="Arial" w:eastAsia="Arial"/>
          <w:i/>
          <w:color w:val="000000"/>
          <w:spacing w:val="0"/>
          <w:position w:val="0"/>
          <w:sz w:val="22"/>
          <w:shd w:fill="auto" w:val="clear"/>
        </w:rPr>
        <w:t xml:space="preserve">Las evaluaciones del curso serán entregadas en puntajes, de modo de gamificar la estrategia de aprendizaje de los estudiantes. Cada módulo tendrá un proyecto central (20% c/u) con énfasis en el trabajo en equipo y el desarrollo de alguna de las otras competencias claves (una por modulo). El restante 40% será obtenido de actividades en clases, las que serán realizadas y evaluadas colaborativamente, de modo de generar dialogo, discusión, crítica y reflexión en las sesiones. Al final del curso los estudiantes presentarán una muestra/exposición en un lugar de interés social donde presentarán los artefactos, productos y comunicaciones que elaborarán durante estas semanas, de forma de compartir sus aprendizajes con la comunidad.</w:t>
      </w:r>
    </w:p>
    <w:p>
      <w:pPr>
        <w:spacing w:before="0" w:after="0" w:line="240"/>
        <w:ind w:right="0" w:left="0" w:firstLine="0"/>
        <w:jc w:val="both"/>
        <w:rPr>
          <w:rFonts w:ascii="Arial" w:hAnsi="Arial" w:cs="Arial" w:eastAsia="Arial"/>
          <w:b/>
          <w:color w:val="000000"/>
          <w:spacing w:val="0"/>
          <w:position w:val="0"/>
          <w:sz w:val="22"/>
          <w:shd w:fill="auto" w:val="clear"/>
        </w:rPr>
      </w:pPr>
    </w:p>
    <w:p>
      <w:pPr>
        <w:spacing w:before="0" w:after="0" w:line="240"/>
        <w:ind w:right="0" w:left="0" w:firstLine="0"/>
        <w:jc w:val="both"/>
        <w:rPr>
          <w:rFonts w:ascii="Arial" w:hAnsi="Arial" w:cs="Arial" w:eastAsia="Arial"/>
          <w:i/>
          <w:color w:val="000000"/>
          <w:spacing w:val="0"/>
          <w:position w:val="0"/>
          <w:sz w:val="22"/>
          <w:shd w:fill="auto" w:val="clear"/>
        </w:rPr>
      </w:pPr>
      <w:r>
        <w:rPr>
          <w:rFonts w:ascii="Arial" w:hAnsi="Arial" w:cs="Arial" w:eastAsia="Arial"/>
          <w:b/>
          <w:color w:val="000000"/>
          <w:spacing w:val="0"/>
          <w:position w:val="0"/>
          <w:sz w:val="22"/>
          <w:shd w:fill="auto" w:val="clear"/>
        </w:rPr>
        <w:t xml:space="preserve">16. REQUISITOS DE APROBACIÓN </w:t>
      </w:r>
      <w:r>
        <w:rPr>
          <w:rFonts w:ascii="Arial" w:hAnsi="Arial" w:cs="Arial" w:eastAsia="Arial"/>
          <w:i/>
          <w:color w:val="000000"/>
          <w:spacing w:val="0"/>
          <w:position w:val="0"/>
          <w:sz w:val="22"/>
          <w:shd w:fill="auto" w:val="clear"/>
        </w:rPr>
        <w:t xml:space="preserve">(Elementos normativos para la aprobación como por ejemplo: Examen Final. Deberá contemplarse una escala de evaluación desde el 1,0 al 7,0 , con un decimal. Estos campos no son obligatorios para CFG y quedan a revisión del Equipo Docente)</w:t>
      </w:r>
    </w:p>
    <w:p>
      <w:pPr>
        <w:spacing w:before="0" w:after="0" w:line="240"/>
        <w:ind w:right="0" w:left="0" w:firstLine="0"/>
        <w:jc w:val="both"/>
        <w:rPr>
          <w:rFonts w:ascii="Arial" w:hAnsi="Arial" w:cs="Arial" w:eastAsia="Arial"/>
          <w:i/>
          <w:color w:val="000000"/>
          <w:spacing w:val="0"/>
          <w:position w:val="0"/>
          <w:sz w:val="22"/>
          <w:shd w:fill="auto" w:val="clear"/>
        </w:rPr>
      </w:pPr>
    </w:p>
    <w:p>
      <w:pPr>
        <w:spacing w:before="0" w:after="0" w:line="240"/>
        <w:ind w:right="0" w:left="0" w:firstLine="0"/>
        <w:jc w:val="both"/>
        <w:rPr>
          <w:rFonts w:ascii="Arial" w:hAnsi="Arial" w:cs="Arial" w:eastAsia="Arial"/>
          <w:i/>
          <w:color w:val="000000"/>
          <w:spacing w:val="0"/>
          <w:position w:val="0"/>
          <w:sz w:val="22"/>
          <w:shd w:fill="auto" w:val="clear"/>
        </w:rPr>
      </w:pPr>
      <w:r>
        <w:rPr>
          <w:rFonts w:ascii="Arial" w:hAnsi="Arial" w:cs="Arial" w:eastAsia="Arial"/>
          <w:i/>
          <w:color w:val="000000"/>
          <w:spacing w:val="0"/>
          <w:position w:val="0"/>
          <w:sz w:val="22"/>
          <w:shd w:fill="auto" w:val="clear"/>
        </w:rPr>
        <w:t xml:space="preserve">Este curso requiere como requisito de aprobación la entrega de los 3 proyectos modulares y la exposición en la muestra final. Cualquier inasistencia a estás actividades debe ser justificada por escrito ante el profesor coordinador.</w:t>
      </w:r>
    </w:p>
    <w:p>
      <w:pPr>
        <w:spacing w:before="0" w:after="0" w:line="240"/>
        <w:ind w:right="0" w:left="0" w:firstLine="0"/>
        <w:jc w:val="both"/>
        <w:rPr>
          <w:rFonts w:ascii="Arial" w:hAnsi="Arial" w:cs="Arial" w:eastAsia="Arial"/>
          <w:i/>
          <w:color w:val="000000"/>
          <w:spacing w:val="0"/>
          <w:position w:val="0"/>
          <w:sz w:val="22"/>
          <w:shd w:fill="auto" w:val="clear"/>
        </w:rPr>
      </w:pPr>
    </w:p>
    <w:p>
      <w:pPr>
        <w:spacing w:before="0" w:after="0" w:line="240"/>
        <w:ind w:right="0" w:left="0" w:firstLine="0"/>
        <w:jc w:val="both"/>
        <w:rPr>
          <w:rFonts w:ascii="Arial" w:hAnsi="Arial" w:cs="Arial" w:eastAsia="Arial"/>
          <w:i/>
          <w:color w:val="000000"/>
          <w:spacing w:val="0"/>
          <w:position w:val="0"/>
          <w:sz w:val="22"/>
          <w:shd w:fill="auto" w:val="clear"/>
        </w:rPr>
      </w:pPr>
      <w:r>
        <w:rPr>
          <w:rFonts w:ascii="Arial" w:hAnsi="Arial" w:cs="Arial" w:eastAsia="Arial"/>
          <w:i/>
          <w:color w:val="000000"/>
          <w:spacing w:val="0"/>
          <w:position w:val="0"/>
          <w:sz w:val="22"/>
          <w:shd w:fill="auto" w:val="clear"/>
        </w:rPr>
        <w:t xml:space="preserve">El estudiante debe tener nota igual o superior a 4 para aprobar. </w:t>
      </w:r>
    </w:p>
    <w:p>
      <w:pPr>
        <w:spacing w:before="0" w:after="0" w:line="240"/>
        <w:ind w:right="0" w:left="0" w:firstLine="0"/>
        <w:jc w:val="both"/>
        <w:rPr>
          <w:rFonts w:ascii="Arial" w:hAnsi="Arial" w:cs="Arial" w:eastAsia="Arial"/>
          <w:i/>
          <w:color w:val="000000"/>
          <w:spacing w:val="0"/>
          <w:position w:val="0"/>
          <w:sz w:val="22"/>
          <w:shd w:fill="auto" w:val="clear"/>
        </w:rPr>
      </w:pPr>
    </w:p>
    <w:p>
      <w:pPr>
        <w:spacing w:before="0" w:after="0" w:line="240"/>
        <w:ind w:right="0" w:left="0" w:firstLine="0"/>
        <w:jc w:val="both"/>
        <w:rPr>
          <w:rFonts w:ascii="Arial" w:hAnsi="Arial" w:cs="Arial" w:eastAsia="Arial"/>
          <w:i/>
          <w:color w:val="000000"/>
          <w:spacing w:val="0"/>
          <w:position w:val="0"/>
          <w:sz w:val="22"/>
          <w:shd w:fill="auto" w:val="clear"/>
        </w:rPr>
      </w:pPr>
      <w:r>
        <w:rPr>
          <w:rFonts w:ascii="Arial" w:hAnsi="Arial" w:cs="Arial" w:eastAsia="Arial"/>
          <w:i/>
          <w:color w:val="000000"/>
          <w:spacing w:val="0"/>
          <w:position w:val="0"/>
          <w:sz w:val="22"/>
          <w:shd w:fill="auto" w:val="clear"/>
        </w:rPr>
        <w:t xml:space="preserve">En caso de que el estudiante obtenga una calificación final superior o igual a 3,5 pero inferior a 4, el estudiante puede optar a un examen escrito sobre todos los contenidos del curso en calidad de examen, con una ponderación del 30% de la nota total. Los estudiantes que así lo deseen tendrán el examen la semana posterior a la exposición total.  en horario y día a indicar por el equipo docente. </w:t>
      </w:r>
    </w:p>
    <w:p>
      <w:pPr>
        <w:spacing w:before="0" w:after="0" w:line="240"/>
        <w:ind w:right="0" w:left="0" w:firstLine="0"/>
        <w:jc w:val="both"/>
        <w:rPr>
          <w:rFonts w:ascii="Arial" w:hAnsi="Arial" w:cs="Arial" w:eastAsia="Arial"/>
          <w:b/>
          <w:i/>
          <w:color w:val="000000"/>
          <w:spacing w:val="0"/>
          <w:position w:val="0"/>
          <w:sz w:val="22"/>
          <w:shd w:fill="auto" w:val="clear"/>
        </w:rPr>
      </w:pPr>
    </w:p>
    <w:p>
      <w:pPr>
        <w:spacing w:before="0" w:after="0" w:line="240"/>
        <w:ind w:right="0" w:left="0" w:firstLine="0"/>
        <w:jc w:val="both"/>
        <w:rPr>
          <w:rFonts w:ascii="Arial" w:hAnsi="Arial" w:cs="Arial" w:eastAsia="Arial"/>
          <w:b/>
          <w:color w:val="000000"/>
          <w:spacing w:val="0"/>
          <w:position w:val="0"/>
          <w:sz w:val="22"/>
          <w:shd w:fill="auto" w:val="clear"/>
        </w:rPr>
      </w:pPr>
    </w:p>
    <w:p>
      <w:pPr>
        <w:spacing w:before="0" w:after="0" w:line="240"/>
        <w:ind w:right="0" w:left="0" w:firstLine="0"/>
        <w:jc w:val="both"/>
        <w:rPr>
          <w:rFonts w:ascii="Arial" w:hAnsi="Arial" w:cs="Arial" w:eastAsia="Arial"/>
          <w:i/>
          <w:color w:val="000000"/>
          <w:spacing w:val="0"/>
          <w:position w:val="0"/>
          <w:sz w:val="22"/>
          <w:shd w:fill="auto" w:val="clear"/>
        </w:rPr>
      </w:pPr>
      <w:r>
        <w:rPr>
          <w:rFonts w:ascii="Arial" w:hAnsi="Arial" w:cs="Arial" w:eastAsia="Arial"/>
          <w:b/>
          <w:color w:val="000000"/>
          <w:spacing w:val="0"/>
          <w:position w:val="0"/>
          <w:sz w:val="22"/>
          <w:shd w:fill="auto" w:val="clear"/>
        </w:rPr>
        <w:t xml:space="preserve">17. PALABRAS CLAVE </w:t>
      </w:r>
      <w:r>
        <w:rPr>
          <w:rFonts w:ascii="Arial" w:hAnsi="Arial" w:cs="Arial" w:eastAsia="Arial"/>
          <w:i/>
          <w:color w:val="000000"/>
          <w:spacing w:val="0"/>
          <w:position w:val="0"/>
          <w:sz w:val="22"/>
          <w:shd w:fill="auto" w:val="clear"/>
        </w:rPr>
        <w:t xml:space="preserve">(Palabras clave del propósito general de la asignatura y sus contenidos, que permiten identificar la temática del curso en sistemas de búsqueda automatizada. Un total de 5 para CFG es lo recomendable)</w:t>
      </w:r>
    </w:p>
    <w:p>
      <w:pPr>
        <w:spacing w:before="0" w:after="0" w:line="240"/>
        <w:ind w:right="0" w:left="0" w:firstLine="0"/>
        <w:jc w:val="both"/>
        <w:rPr>
          <w:rFonts w:ascii="Arial" w:hAnsi="Arial" w:cs="Arial" w:eastAsia="Arial"/>
          <w:i/>
          <w:color w:val="000000"/>
          <w:spacing w:val="0"/>
          <w:position w:val="0"/>
          <w:sz w:val="22"/>
          <w:shd w:fill="auto" w:val="clear"/>
        </w:rPr>
      </w:pPr>
    </w:p>
    <w:p>
      <w:pPr>
        <w:spacing w:before="0" w:after="0" w:line="240"/>
        <w:ind w:right="0" w:left="0" w:firstLine="0"/>
        <w:jc w:val="both"/>
        <w:rPr>
          <w:rFonts w:ascii="Arial" w:hAnsi="Arial" w:cs="Arial" w:eastAsia="Arial"/>
          <w:b/>
          <w:color w:val="000000"/>
          <w:spacing w:val="0"/>
          <w:position w:val="0"/>
          <w:sz w:val="22"/>
          <w:shd w:fill="auto" w:val="clear"/>
        </w:rPr>
      </w:pPr>
      <w:r>
        <w:rPr>
          <w:rFonts w:ascii="Arial" w:hAnsi="Arial" w:cs="Arial" w:eastAsia="Arial"/>
          <w:i/>
          <w:color w:val="000000"/>
          <w:spacing w:val="0"/>
          <w:position w:val="0"/>
          <w:sz w:val="22"/>
          <w:shd w:fill="auto" w:val="clear"/>
        </w:rPr>
        <w:t xml:space="preserve">STS (Ciencia, Tecnología y Sociedad), Revolución Cultural, Transformación Tecnocientifica, Política, Arte y Comunicación; Poder</w:t>
      </w:r>
    </w:p>
    <w:p>
      <w:pPr>
        <w:spacing w:before="0" w:after="0" w:line="240"/>
        <w:ind w:right="0" w:left="0" w:firstLine="0"/>
        <w:jc w:val="both"/>
        <w:rPr>
          <w:rFonts w:ascii="Arial" w:hAnsi="Arial" w:cs="Arial" w:eastAsia="Arial"/>
          <w:b/>
          <w:color w:val="000000"/>
          <w:spacing w:val="0"/>
          <w:position w:val="0"/>
          <w:sz w:val="22"/>
          <w:shd w:fill="auto" w:val="clear"/>
        </w:rPr>
      </w:pPr>
    </w:p>
    <w:p>
      <w:pPr>
        <w:spacing w:before="0" w:after="0" w:line="240"/>
        <w:ind w:right="0" w:left="0" w:firstLine="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18. BIBLIOGRAFÍA </w:t>
      </w:r>
    </w:p>
    <w:p>
      <w:pPr>
        <w:spacing w:before="0" w:after="0" w:line="240"/>
        <w:ind w:right="0" w:left="0" w:firstLine="0"/>
        <w:jc w:val="both"/>
        <w:rPr>
          <w:rFonts w:ascii="Arial" w:hAnsi="Arial" w:cs="Arial" w:eastAsia="Arial"/>
          <w:b/>
          <w:color w:val="000000"/>
          <w:spacing w:val="0"/>
          <w:position w:val="0"/>
          <w:sz w:val="22"/>
          <w:shd w:fill="auto" w:val="clear"/>
        </w:rPr>
      </w:pPr>
    </w:p>
    <w:p>
      <w:pPr>
        <w:spacing w:before="0" w:after="0" w:line="240"/>
        <w:ind w:right="0" w:left="0" w:firstLine="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19. Calendario de clases</w:t>
      </w:r>
    </w:p>
    <w:p>
      <w:pPr>
        <w:spacing w:before="0" w:after="0" w:line="240"/>
        <w:ind w:right="0" w:left="0" w:firstLine="0"/>
        <w:jc w:val="both"/>
        <w:rPr>
          <w:rFonts w:ascii="Arial" w:hAnsi="Arial" w:cs="Arial" w:eastAsia="Arial"/>
          <w:b/>
          <w:color w:val="000000"/>
          <w:spacing w:val="0"/>
          <w:position w:val="0"/>
          <w:sz w:val="22"/>
          <w:shd w:fill="auto" w:val="clear"/>
        </w:rPr>
      </w:pPr>
    </w:p>
    <w:tbl>
      <w:tblPr/>
      <w:tblGrid>
        <w:gridCol w:w="1526"/>
        <w:gridCol w:w="1193"/>
        <w:gridCol w:w="7253"/>
      </w:tblGrid>
      <w:tr>
        <w:trPr>
          <w:trHeight w:val="0" w:hRule="atLeast"/>
          <w:jc w:val="left"/>
        </w:trPr>
        <w:tc>
          <w:tcPr>
            <w:tcW w:w="1526" w:type="dxa"/>
            <w:tcBorders>
              <w:top w:val="single" w:color="000000" w:sz="1"/>
              <w:left w:val="single" w:color="000000" w:sz="1"/>
              <w:bottom w:val="single" w:color="000000" w:sz="1"/>
              <w:right w:val="single" w:color="836967" w:sz="0"/>
            </w:tcBorders>
            <w:shd w:color="auto" w:fill="auto" w:val="clear"/>
            <w:tcMar>
              <w:left w:w="10" w:type="dxa"/>
              <w:right w:w="10" w:type="dxa"/>
            </w:tcMar>
            <w:vAlign w:val="top"/>
          </w:tcPr>
          <w:p>
            <w:pPr>
              <w:suppressLineNumber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Semana</w:t>
            </w:r>
          </w:p>
        </w:tc>
        <w:tc>
          <w:tcPr>
            <w:tcW w:w="1193" w:type="dxa"/>
            <w:tcBorders>
              <w:top w:val="single" w:color="000000" w:sz="1"/>
              <w:left w:val="single" w:color="000000" w:sz="1"/>
              <w:bottom w:val="single" w:color="000000" w:sz="1"/>
              <w:right w:val="single" w:color="836967" w:sz="0"/>
            </w:tcBorders>
            <w:shd w:color="auto" w:fill="auto" w:val="clear"/>
            <w:tcMar>
              <w:left w:w="10" w:type="dxa"/>
              <w:right w:w="10" w:type="dxa"/>
            </w:tcMar>
            <w:vAlign w:val="top"/>
          </w:tcPr>
          <w:p>
            <w:pPr>
              <w:suppressLineNumber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Fecha</w:t>
            </w:r>
          </w:p>
        </w:tc>
        <w:tc>
          <w:tcPr>
            <w:tcW w:w="7253" w:type="dxa"/>
            <w:tcBorders>
              <w:top w:val="single" w:color="000000" w:sz="1"/>
              <w:left w:val="single" w:color="000000" w:sz="1"/>
              <w:bottom w:val="single" w:color="000000" w:sz="1"/>
              <w:right w:val="single" w:color="000000" w:sz="1"/>
            </w:tcBorders>
            <w:shd w:color="auto" w:fill="auto" w:val="clear"/>
            <w:tcMar>
              <w:left w:w="10" w:type="dxa"/>
              <w:right w:w="10" w:type="dxa"/>
            </w:tcMar>
            <w:vAlign w:val="top"/>
          </w:tcPr>
          <w:p>
            <w:pPr>
              <w:suppressLineNumber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Contenidos</w:t>
            </w:r>
          </w:p>
        </w:tc>
      </w:tr>
      <w:tr>
        <w:trPr>
          <w:trHeight w:val="0" w:hRule="atLeast"/>
          <w:jc w:val="left"/>
        </w:trPr>
        <w:tc>
          <w:tcPr>
            <w:tcW w:w="1526" w:type="dxa"/>
            <w:tcBorders>
              <w:top w:val="single" w:color="836967" w:sz="0"/>
              <w:left w:val="single" w:color="000000" w:sz="1"/>
              <w:bottom w:val="single" w:color="000000" w:sz="1"/>
              <w:right w:val="single" w:color="836967" w:sz="0"/>
            </w:tcBorders>
            <w:shd w:color="auto" w:fill="auto" w:val="clear"/>
            <w:tcMar>
              <w:left w:w="10" w:type="dxa"/>
              <w:right w:w="10" w:type="dxa"/>
            </w:tcMar>
            <w:vAlign w:val="top"/>
          </w:tcPr>
          <w:p>
            <w:pPr>
              <w:suppressLineNumber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w:t>
            </w:r>
          </w:p>
        </w:tc>
        <w:tc>
          <w:tcPr>
            <w:tcW w:w="1193" w:type="dxa"/>
            <w:tcBorders>
              <w:top w:val="single" w:color="836967" w:sz="0"/>
              <w:left w:val="single" w:color="000000" w:sz="1"/>
              <w:bottom w:val="single" w:color="000000" w:sz="1"/>
              <w:right w:val="single" w:color="836967" w:sz="0"/>
            </w:tcBorders>
            <w:shd w:color="auto" w:fill="auto" w:val="clear"/>
            <w:tcMar>
              <w:left w:w="10" w:type="dxa"/>
              <w:right w:w="10" w:type="dxa"/>
            </w:tcMar>
            <w:vAlign w:val="top"/>
          </w:tcPr>
          <w:p>
            <w:pPr>
              <w:suppressLineNumber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5-AGO</w:t>
            </w:r>
          </w:p>
        </w:tc>
        <w:tc>
          <w:tcPr>
            <w:tcW w:w="7253" w:type="dxa"/>
            <w:tcBorders>
              <w:top w:val="single" w:color="836967" w:sz="0"/>
              <w:left w:val="single" w:color="000000" w:sz="1"/>
              <w:bottom w:val="single" w:color="000000" w:sz="1"/>
              <w:right w:val="single" w:color="000000" w:sz="1"/>
            </w:tcBorders>
            <w:shd w:color="auto" w:fill="auto" w:val="clear"/>
            <w:tcMar>
              <w:left w:w="10" w:type="dxa"/>
              <w:right w:w="10" w:type="dxa"/>
            </w:tcMar>
            <w:vAlign w:val="top"/>
          </w:tcPr>
          <w:p>
            <w:pPr>
              <w:suppressLineNumber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El concepto de poder y el concepto de Ciencia (MAPC)</w:t>
            </w:r>
          </w:p>
        </w:tc>
      </w:tr>
      <w:tr>
        <w:trPr>
          <w:trHeight w:val="0" w:hRule="atLeast"/>
          <w:jc w:val="left"/>
        </w:trPr>
        <w:tc>
          <w:tcPr>
            <w:tcW w:w="1526" w:type="dxa"/>
            <w:tcBorders>
              <w:top w:val="single" w:color="836967" w:sz="0"/>
              <w:left w:val="single" w:color="000000" w:sz="1"/>
              <w:bottom w:val="single" w:color="000000" w:sz="1"/>
              <w:right w:val="single" w:color="836967" w:sz="0"/>
            </w:tcBorders>
            <w:shd w:color="auto" w:fill="auto" w:val="clear"/>
            <w:tcMar>
              <w:left w:w="10" w:type="dxa"/>
              <w:right w:w="10" w:type="dxa"/>
            </w:tcMar>
            <w:vAlign w:val="top"/>
          </w:tcPr>
          <w:p>
            <w:pPr>
              <w:suppressLineNumber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w:t>
            </w:r>
          </w:p>
        </w:tc>
        <w:tc>
          <w:tcPr>
            <w:tcW w:w="1193" w:type="dxa"/>
            <w:tcBorders>
              <w:top w:val="single" w:color="836967" w:sz="0"/>
              <w:left w:val="single" w:color="000000" w:sz="1"/>
              <w:bottom w:val="single" w:color="000000" w:sz="1"/>
              <w:right w:val="single" w:color="836967" w:sz="0"/>
            </w:tcBorders>
            <w:shd w:color="auto" w:fill="auto" w:val="clear"/>
            <w:tcMar>
              <w:left w:w="10" w:type="dxa"/>
              <w:right w:w="10" w:type="dxa"/>
            </w:tcMar>
            <w:vAlign w:val="top"/>
          </w:tcPr>
          <w:p>
            <w:pPr>
              <w:suppressLineNumber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12-AGO</w:t>
            </w:r>
          </w:p>
        </w:tc>
        <w:tc>
          <w:tcPr>
            <w:tcW w:w="7253" w:type="dxa"/>
            <w:tcBorders>
              <w:top w:val="single" w:color="836967" w:sz="0"/>
              <w:left w:val="single" w:color="000000" w:sz="1"/>
              <w:bottom w:val="single" w:color="000000" w:sz="1"/>
              <w:right w:val="single" w:color="000000" w:sz="1"/>
            </w:tcBorders>
            <w:shd w:color="auto" w:fill="auto" w:val="clear"/>
            <w:tcMar>
              <w:left w:w="10" w:type="dxa"/>
              <w:right w:w="10" w:type="dxa"/>
            </w:tcMar>
            <w:vAlign w:val="top"/>
          </w:tcPr>
          <w:p>
            <w:pPr>
              <w:suppressLineNumber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El Método y Límites de la Validez (NP)</w:t>
            </w:r>
          </w:p>
        </w:tc>
      </w:tr>
      <w:tr>
        <w:trPr>
          <w:trHeight w:val="0" w:hRule="atLeast"/>
          <w:jc w:val="left"/>
        </w:trPr>
        <w:tc>
          <w:tcPr>
            <w:tcW w:w="1526" w:type="dxa"/>
            <w:tcBorders>
              <w:top w:val="single" w:color="836967" w:sz="0"/>
              <w:left w:val="single" w:color="000000" w:sz="1"/>
              <w:bottom w:val="single" w:color="000000" w:sz="1"/>
              <w:right w:val="single" w:color="836967" w:sz="0"/>
            </w:tcBorders>
            <w:shd w:color="auto" w:fill="auto" w:val="clear"/>
            <w:tcMar>
              <w:left w:w="10" w:type="dxa"/>
              <w:right w:w="10" w:type="dxa"/>
            </w:tcMar>
            <w:vAlign w:val="top"/>
          </w:tcPr>
          <w:p>
            <w:pPr>
              <w:suppressLineNumber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w:t>
            </w:r>
          </w:p>
        </w:tc>
        <w:tc>
          <w:tcPr>
            <w:tcW w:w="1193" w:type="dxa"/>
            <w:tcBorders>
              <w:top w:val="single" w:color="836967" w:sz="0"/>
              <w:left w:val="single" w:color="000000" w:sz="1"/>
              <w:bottom w:val="single" w:color="000000" w:sz="1"/>
              <w:right w:val="single" w:color="836967" w:sz="0"/>
            </w:tcBorders>
            <w:shd w:color="auto" w:fill="auto" w:val="clear"/>
            <w:tcMar>
              <w:left w:w="10" w:type="dxa"/>
              <w:right w:w="10" w:type="dxa"/>
            </w:tcMar>
            <w:vAlign w:val="top"/>
          </w:tcPr>
          <w:p>
            <w:pPr>
              <w:suppressLineNumber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19-AGO</w:t>
            </w:r>
          </w:p>
        </w:tc>
        <w:tc>
          <w:tcPr>
            <w:tcW w:w="7253" w:type="dxa"/>
            <w:tcBorders>
              <w:top w:val="single" w:color="836967" w:sz="0"/>
              <w:left w:val="single" w:color="000000" w:sz="1"/>
              <w:bottom w:val="single" w:color="000000" w:sz="1"/>
              <w:right w:val="single" w:color="000000" w:sz="1"/>
            </w:tcBorders>
            <w:shd w:color="auto" w:fill="auto" w:val="clear"/>
            <w:tcMar>
              <w:left w:w="10" w:type="dxa"/>
              <w:right w:w="10" w:type="dxa"/>
            </w:tcMar>
            <w:vAlign w:val="top"/>
          </w:tcPr>
          <w:p>
            <w:pPr>
              <w:suppressLineNumber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Conflictos en Ciencia (CFB)</w:t>
            </w:r>
          </w:p>
        </w:tc>
      </w:tr>
      <w:tr>
        <w:trPr>
          <w:trHeight w:val="0" w:hRule="atLeast"/>
          <w:jc w:val="left"/>
        </w:trPr>
        <w:tc>
          <w:tcPr>
            <w:tcW w:w="1526" w:type="dxa"/>
            <w:tcBorders>
              <w:top w:val="single" w:color="836967" w:sz="0"/>
              <w:left w:val="single" w:color="000000" w:sz="1"/>
              <w:bottom w:val="single" w:color="000000" w:sz="1"/>
              <w:right w:val="single" w:color="836967" w:sz="0"/>
            </w:tcBorders>
            <w:shd w:color="auto" w:fill="auto" w:val="clear"/>
            <w:tcMar>
              <w:left w:w="10" w:type="dxa"/>
              <w:right w:w="10" w:type="dxa"/>
            </w:tcMar>
            <w:vAlign w:val="top"/>
          </w:tcPr>
          <w:p>
            <w:pPr>
              <w:suppressLineNumber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4</w:t>
            </w:r>
          </w:p>
        </w:tc>
        <w:tc>
          <w:tcPr>
            <w:tcW w:w="1193" w:type="dxa"/>
            <w:tcBorders>
              <w:top w:val="single" w:color="836967" w:sz="0"/>
              <w:left w:val="single" w:color="000000" w:sz="1"/>
              <w:bottom w:val="single" w:color="000000" w:sz="1"/>
              <w:right w:val="single" w:color="836967" w:sz="0"/>
            </w:tcBorders>
            <w:shd w:color="auto" w:fill="auto" w:val="clear"/>
            <w:tcMar>
              <w:left w:w="10" w:type="dxa"/>
              <w:right w:w="10" w:type="dxa"/>
            </w:tcMar>
            <w:vAlign w:val="top"/>
          </w:tcPr>
          <w:p>
            <w:pPr>
              <w:suppressLineNumber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26-AGO</w:t>
            </w:r>
          </w:p>
        </w:tc>
        <w:tc>
          <w:tcPr>
            <w:tcW w:w="7253" w:type="dxa"/>
            <w:tcBorders>
              <w:top w:val="single" w:color="836967" w:sz="0"/>
              <w:left w:val="single" w:color="000000" w:sz="1"/>
              <w:bottom w:val="single" w:color="000000" w:sz="1"/>
              <w:right w:val="single" w:color="000000" w:sz="1"/>
            </w:tcBorders>
            <w:shd w:color="auto" w:fill="auto" w:val="clear"/>
            <w:tcMar>
              <w:left w:w="10" w:type="dxa"/>
              <w:right w:w="10" w:type="dxa"/>
            </w:tcMar>
            <w:vAlign w:val="top"/>
          </w:tcPr>
          <w:p>
            <w:pPr>
              <w:suppressLineNumber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Estado, Sociedad y Ciencia (CFB)</w:t>
            </w:r>
          </w:p>
        </w:tc>
      </w:tr>
      <w:tr>
        <w:trPr>
          <w:trHeight w:val="0" w:hRule="atLeast"/>
          <w:jc w:val="left"/>
        </w:trPr>
        <w:tc>
          <w:tcPr>
            <w:tcW w:w="1526" w:type="dxa"/>
            <w:tcBorders>
              <w:top w:val="single" w:color="836967" w:sz="0"/>
              <w:left w:val="single" w:color="000000" w:sz="1"/>
              <w:bottom w:val="single" w:color="000000" w:sz="1"/>
              <w:right w:val="single" w:color="836967" w:sz="0"/>
            </w:tcBorders>
            <w:shd w:color="auto" w:fill="auto" w:val="clear"/>
            <w:tcMar>
              <w:left w:w="10" w:type="dxa"/>
              <w:right w:w="10" w:type="dxa"/>
            </w:tcMar>
            <w:vAlign w:val="top"/>
          </w:tcPr>
          <w:p>
            <w:pPr>
              <w:suppressLineNumber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5</w:t>
            </w:r>
          </w:p>
        </w:tc>
        <w:tc>
          <w:tcPr>
            <w:tcW w:w="1193" w:type="dxa"/>
            <w:tcBorders>
              <w:top w:val="single" w:color="836967" w:sz="0"/>
              <w:left w:val="single" w:color="000000" w:sz="1"/>
              <w:bottom w:val="single" w:color="000000" w:sz="1"/>
              <w:right w:val="single" w:color="836967" w:sz="0"/>
            </w:tcBorders>
            <w:shd w:color="auto" w:fill="auto" w:val="clear"/>
            <w:tcMar>
              <w:left w:w="10" w:type="dxa"/>
              <w:right w:w="10" w:type="dxa"/>
            </w:tcMar>
            <w:vAlign w:val="top"/>
          </w:tcPr>
          <w:p>
            <w:pPr>
              <w:suppressLineNumber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2-SEPT</w:t>
            </w:r>
          </w:p>
        </w:tc>
        <w:tc>
          <w:tcPr>
            <w:tcW w:w="7253" w:type="dxa"/>
            <w:tcBorders>
              <w:top w:val="single" w:color="836967" w:sz="0"/>
              <w:left w:val="single" w:color="000000" w:sz="1"/>
              <w:bottom w:val="single" w:color="000000" w:sz="1"/>
              <w:right w:val="single" w:color="000000" w:sz="1"/>
            </w:tcBorders>
            <w:shd w:color="auto" w:fill="auto" w:val="clear"/>
            <w:tcMar>
              <w:left w:w="10" w:type="dxa"/>
              <w:right w:w="10" w:type="dxa"/>
            </w:tcMar>
            <w:vAlign w:val="top"/>
          </w:tcPr>
          <w:p>
            <w:pPr>
              <w:suppressLineNumber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Autoridad Científica (MAPC/CFB/NP)</w:t>
            </w:r>
          </w:p>
        </w:tc>
      </w:tr>
      <w:tr>
        <w:trPr>
          <w:trHeight w:val="0" w:hRule="atLeast"/>
          <w:jc w:val="left"/>
        </w:trPr>
        <w:tc>
          <w:tcPr>
            <w:tcW w:w="1526" w:type="dxa"/>
            <w:tcBorders>
              <w:top w:val="single" w:color="836967" w:sz="0"/>
              <w:left w:val="single" w:color="000000" w:sz="1"/>
              <w:bottom w:val="single" w:color="000000" w:sz="1"/>
              <w:right w:val="single" w:color="836967" w:sz="0"/>
            </w:tcBorders>
            <w:shd w:color="auto" w:fill="auto" w:val="clear"/>
            <w:tcMar>
              <w:left w:w="10" w:type="dxa"/>
              <w:right w:w="10" w:type="dxa"/>
            </w:tcMar>
            <w:vAlign w:val="top"/>
          </w:tcPr>
          <w:p>
            <w:pPr>
              <w:suppressLineNumber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6</w:t>
            </w:r>
          </w:p>
        </w:tc>
        <w:tc>
          <w:tcPr>
            <w:tcW w:w="1193" w:type="dxa"/>
            <w:tcBorders>
              <w:top w:val="single" w:color="836967" w:sz="0"/>
              <w:left w:val="single" w:color="000000" w:sz="1"/>
              <w:bottom w:val="single" w:color="000000" w:sz="1"/>
              <w:right w:val="single" w:color="836967" w:sz="0"/>
            </w:tcBorders>
            <w:shd w:color="auto" w:fill="auto" w:val="clear"/>
            <w:tcMar>
              <w:left w:w="10" w:type="dxa"/>
              <w:right w:w="10" w:type="dxa"/>
            </w:tcMar>
            <w:vAlign w:val="top"/>
          </w:tcPr>
          <w:p>
            <w:pPr>
              <w:suppressLineNumber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9-SEPT</w:t>
            </w:r>
          </w:p>
        </w:tc>
        <w:tc>
          <w:tcPr>
            <w:tcW w:w="7253" w:type="dxa"/>
            <w:tcBorders>
              <w:top w:val="single" w:color="836967" w:sz="0"/>
              <w:left w:val="single" w:color="000000" w:sz="1"/>
              <w:bottom w:val="single" w:color="000000" w:sz="1"/>
              <w:right w:val="single" w:color="000000" w:sz="1"/>
            </w:tcBorders>
            <w:shd w:color="auto" w:fill="auto" w:val="clear"/>
            <w:tcMar>
              <w:left w:w="10" w:type="dxa"/>
              <w:right w:w="10" w:type="dxa"/>
            </w:tcMar>
            <w:vAlign w:val="top"/>
          </w:tcPr>
          <w:p>
            <w:pPr>
              <w:suppressLineNumber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Percepciones Sociales de la Ciencia (MAPC)</w:t>
            </w:r>
          </w:p>
        </w:tc>
      </w:tr>
      <w:tr>
        <w:trPr>
          <w:trHeight w:val="0" w:hRule="atLeast"/>
          <w:jc w:val="left"/>
        </w:trPr>
        <w:tc>
          <w:tcPr>
            <w:tcW w:w="1526" w:type="dxa"/>
            <w:tcBorders>
              <w:top w:val="single" w:color="836967" w:sz="0"/>
              <w:left w:val="single" w:color="000000" w:sz="1"/>
              <w:bottom w:val="single" w:color="000000" w:sz="1"/>
              <w:right w:val="single" w:color="836967" w:sz="0"/>
            </w:tcBorders>
            <w:shd w:color="auto" w:fill="auto" w:val="clear"/>
            <w:tcMar>
              <w:left w:w="10" w:type="dxa"/>
              <w:right w:w="10" w:type="dxa"/>
            </w:tcMar>
            <w:vAlign w:val="top"/>
          </w:tcPr>
          <w:p>
            <w:pPr>
              <w:suppressLineNumber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7</w:t>
            </w:r>
          </w:p>
        </w:tc>
        <w:tc>
          <w:tcPr>
            <w:tcW w:w="1193" w:type="dxa"/>
            <w:tcBorders>
              <w:top w:val="single" w:color="836967" w:sz="0"/>
              <w:left w:val="single" w:color="000000" w:sz="1"/>
              <w:bottom w:val="single" w:color="000000" w:sz="1"/>
              <w:right w:val="single" w:color="836967" w:sz="0"/>
            </w:tcBorders>
            <w:shd w:color="auto" w:fill="auto" w:val="clear"/>
            <w:tcMar>
              <w:left w:w="10" w:type="dxa"/>
              <w:right w:w="10" w:type="dxa"/>
            </w:tcMar>
            <w:vAlign w:val="top"/>
          </w:tcPr>
          <w:p>
            <w:pPr>
              <w:suppressLineNumber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23-SEPT</w:t>
            </w:r>
          </w:p>
        </w:tc>
        <w:tc>
          <w:tcPr>
            <w:tcW w:w="7253" w:type="dxa"/>
            <w:tcBorders>
              <w:top w:val="single" w:color="836967" w:sz="0"/>
              <w:left w:val="single" w:color="000000" w:sz="1"/>
              <w:bottom w:val="single" w:color="000000" w:sz="1"/>
              <w:right w:val="single" w:color="000000" w:sz="1"/>
            </w:tcBorders>
            <w:shd w:color="auto" w:fill="auto" w:val="clear"/>
            <w:tcMar>
              <w:left w:w="10" w:type="dxa"/>
              <w:right w:w="10" w:type="dxa"/>
            </w:tcMar>
            <w:vAlign w:val="top"/>
          </w:tcPr>
          <w:p>
            <w:pPr>
              <w:suppressLineNumber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Ciencia → Arte (CFB)</w:t>
            </w:r>
          </w:p>
        </w:tc>
      </w:tr>
      <w:tr>
        <w:trPr>
          <w:trHeight w:val="0" w:hRule="atLeast"/>
          <w:jc w:val="left"/>
        </w:trPr>
        <w:tc>
          <w:tcPr>
            <w:tcW w:w="1526" w:type="dxa"/>
            <w:tcBorders>
              <w:top w:val="single" w:color="836967" w:sz="0"/>
              <w:left w:val="single" w:color="000000" w:sz="1"/>
              <w:bottom w:val="single" w:color="000000" w:sz="1"/>
              <w:right w:val="single" w:color="836967" w:sz="0"/>
            </w:tcBorders>
            <w:shd w:color="auto" w:fill="auto" w:val="clear"/>
            <w:tcMar>
              <w:left w:w="10" w:type="dxa"/>
              <w:right w:w="10" w:type="dxa"/>
            </w:tcMar>
            <w:vAlign w:val="top"/>
          </w:tcPr>
          <w:p>
            <w:pPr>
              <w:suppressLineNumber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8</w:t>
            </w:r>
          </w:p>
        </w:tc>
        <w:tc>
          <w:tcPr>
            <w:tcW w:w="1193" w:type="dxa"/>
            <w:tcBorders>
              <w:top w:val="single" w:color="836967" w:sz="0"/>
              <w:left w:val="single" w:color="000000" w:sz="1"/>
              <w:bottom w:val="single" w:color="000000" w:sz="1"/>
              <w:right w:val="single" w:color="836967" w:sz="0"/>
            </w:tcBorders>
            <w:shd w:color="auto" w:fill="auto" w:val="clear"/>
            <w:tcMar>
              <w:left w:w="10" w:type="dxa"/>
              <w:right w:w="10" w:type="dxa"/>
            </w:tcMar>
            <w:vAlign w:val="top"/>
          </w:tcPr>
          <w:p>
            <w:pPr>
              <w:suppressLineNumber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7-OCT</w:t>
            </w:r>
          </w:p>
        </w:tc>
        <w:tc>
          <w:tcPr>
            <w:tcW w:w="7253" w:type="dxa"/>
            <w:tcBorders>
              <w:top w:val="single" w:color="836967" w:sz="0"/>
              <w:left w:val="single" w:color="000000" w:sz="1"/>
              <w:bottom w:val="single" w:color="000000" w:sz="1"/>
              <w:right w:val="single" w:color="000000" w:sz="1"/>
            </w:tcBorders>
            <w:shd w:color="auto" w:fill="auto" w:val="clear"/>
            <w:tcMar>
              <w:left w:w="10" w:type="dxa"/>
              <w:right w:w="10" w:type="dxa"/>
            </w:tcMar>
            <w:vAlign w:val="top"/>
          </w:tcPr>
          <w:p>
            <w:pPr>
              <w:suppressLineNumber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Arte → Ciencia (NP)</w:t>
            </w:r>
          </w:p>
        </w:tc>
      </w:tr>
      <w:tr>
        <w:trPr>
          <w:trHeight w:val="0" w:hRule="atLeast"/>
          <w:jc w:val="left"/>
        </w:trPr>
        <w:tc>
          <w:tcPr>
            <w:tcW w:w="1526" w:type="dxa"/>
            <w:tcBorders>
              <w:top w:val="single" w:color="836967" w:sz="0"/>
              <w:left w:val="single" w:color="000000" w:sz="1"/>
              <w:bottom w:val="single" w:color="000000" w:sz="1"/>
              <w:right w:val="single" w:color="836967" w:sz="0"/>
            </w:tcBorders>
            <w:shd w:color="auto" w:fill="auto" w:val="clear"/>
            <w:tcMar>
              <w:left w:w="10" w:type="dxa"/>
              <w:right w:w="10" w:type="dxa"/>
            </w:tcMar>
            <w:vAlign w:val="top"/>
          </w:tcPr>
          <w:p>
            <w:pPr>
              <w:suppressLineNumber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9</w:t>
            </w:r>
          </w:p>
        </w:tc>
        <w:tc>
          <w:tcPr>
            <w:tcW w:w="1193" w:type="dxa"/>
            <w:tcBorders>
              <w:top w:val="single" w:color="836967" w:sz="0"/>
              <w:left w:val="single" w:color="000000" w:sz="1"/>
              <w:bottom w:val="single" w:color="000000" w:sz="1"/>
              <w:right w:val="single" w:color="836967" w:sz="0"/>
            </w:tcBorders>
            <w:shd w:color="auto" w:fill="auto" w:val="clear"/>
            <w:tcMar>
              <w:left w:w="10" w:type="dxa"/>
              <w:right w:w="10" w:type="dxa"/>
            </w:tcMar>
            <w:vAlign w:val="top"/>
          </w:tcPr>
          <w:p>
            <w:pPr>
              <w:suppressLineNumber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14-OCT</w:t>
            </w:r>
          </w:p>
        </w:tc>
        <w:tc>
          <w:tcPr>
            <w:tcW w:w="7253" w:type="dxa"/>
            <w:tcBorders>
              <w:top w:val="single" w:color="836967" w:sz="0"/>
              <w:left w:val="single" w:color="000000" w:sz="1"/>
              <w:bottom w:val="single" w:color="000000" w:sz="1"/>
              <w:right w:val="single" w:color="000000" w:sz="1"/>
            </w:tcBorders>
            <w:shd w:color="auto" w:fill="auto" w:val="clear"/>
            <w:tcMar>
              <w:left w:w="10" w:type="dxa"/>
              <w:right w:w="10" w:type="dxa"/>
            </w:tcMar>
            <w:vAlign w:val="top"/>
          </w:tcPr>
          <w:p>
            <w:pPr>
              <w:suppressLineNumber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La Ciudad Atómica (MAPC)</w:t>
            </w:r>
          </w:p>
        </w:tc>
      </w:tr>
      <w:tr>
        <w:trPr>
          <w:trHeight w:val="0" w:hRule="atLeast"/>
          <w:jc w:val="left"/>
        </w:trPr>
        <w:tc>
          <w:tcPr>
            <w:tcW w:w="1526" w:type="dxa"/>
            <w:tcBorders>
              <w:top w:val="single" w:color="836967" w:sz="0"/>
              <w:left w:val="single" w:color="000000" w:sz="1"/>
              <w:bottom w:val="single" w:color="000000" w:sz="1"/>
              <w:right w:val="single" w:color="836967" w:sz="0"/>
            </w:tcBorders>
            <w:shd w:color="auto" w:fill="auto" w:val="clear"/>
            <w:tcMar>
              <w:left w:w="10" w:type="dxa"/>
              <w:right w:w="10" w:type="dxa"/>
            </w:tcMar>
            <w:vAlign w:val="top"/>
          </w:tcPr>
          <w:p>
            <w:pPr>
              <w:suppressLineNumber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10</w:t>
            </w:r>
          </w:p>
        </w:tc>
        <w:tc>
          <w:tcPr>
            <w:tcW w:w="1193" w:type="dxa"/>
            <w:tcBorders>
              <w:top w:val="single" w:color="836967" w:sz="0"/>
              <w:left w:val="single" w:color="000000" w:sz="1"/>
              <w:bottom w:val="single" w:color="000000" w:sz="1"/>
              <w:right w:val="single" w:color="836967" w:sz="0"/>
            </w:tcBorders>
            <w:shd w:color="auto" w:fill="auto" w:val="clear"/>
            <w:tcMar>
              <w:left w:w="10" w:type="dxa"/>
              <w:right w:w="10" w:type="dxa"/>
            </w:tcMar>
            <w:vAlign w:val="top"/>
          </w:tcPr>
          <w:p>
            <w:pPr>
              <w:suppressLineNumber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21-OCT</w:t>
            </w:r>
          </w:p>
        </w:tc>
        <w:tc>
          <w:tcPr>
            <w:tcW w:w="7253" w:type="dxa"/>
            <w:tcBorders>
              <w:top w:val="single" w:color="836967" w:sz="0"/>
              <w:left w:val="single" w:color="000000" w:sz="1"/>
              <w:bottom w:val="single" w:color="000000" w:sz="1"/>
              <w:right w:val="single" w:color="000000" w:sz="1"/>
            </w:tcBorders>
            <w:shd w:color="auto" w:fill="auto" w:val="clear"/>
            <w:tcMar>
              <w:left w:w="10" w:type="dxa"/>
              <w:right w:w="10" w:type="dxa"/>
            </w:tcMar>
            <w:vAlign w:val="top"/>
          </w:tcPr>
          <w:p>
            <w:pPr>
              <w:suppressLineNumber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La ciencia en la construcción de cultura (MAPC/CFB/NP)</w:t>
            </w:r>
          </w:p>
        </w:tc>
      </w:tr>
      <w:tr>
        <w:trPr>
          <w:trHeight w:val="0" w:hRule="atLeast"/>
          <w:jc w:val="left"/>
        </w:trPr>
        <w:tc>
          <w:tcPr>
            <w:tcW w:w="1526" w:type="dxa"/>
            <w:tcBorders>
              <w:top w:val="single" w:color="836967" w:sz="0"/>
              <w:left w:val="single" w:color="000000" w:sz="1"/>
              <w:bottom w:val="single" w:color="000000" w:sz="1"/>
              <w:right w:val="single" w:color="836967" w:sz="0"/>
            </w:tcBorders>
            <w:shd w:color="auto" w:fill="auto" w:val="clear"/>
            <w:tcMar>
              <w:left w:w="10" w:type="dxa"/>
              <w:right w:w="10" w:type="dxa"/>
            </w:tcMar>
            <w:vAlign w:val="top"/>
          </w:tcPr>
          <w:p>
            <w:pPr>
              <w:suppressLineNumber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11</w:t>
            </w:r>
          </w:p>
        </w:tc>
        <w:tc>
          <w:tcPr>
            <w:tcW w:w="1193" w:type="dxa"/>
            <w:tcBorders>
              <w:top w:val="single" w:color="836967" w:sz="0"/>
              <w:left w:val="single" w:color="000000" w:sz="1"/>
              <w:bottom w:val="single" w:color="000000" w:sz="1"/>
              <w:right w:val="single" w:color="836967" w:sz="0"/>
            </w:tcBorders>
            <w:shd w:color="auto" w:fill="auto" w:val="clear"/>
            <w:tcMar>
              <w:left w:w="10" w:type="dxa"/>
              <w:right w:w="10" w:type="dxa"/>
            </w:tcMar>
            <w:vAlign w:val="top"/>
          </w:tcPr>
          <w:p>
            <w:pPr>
              <w:suppressLineNumber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28-OCT</w:t>
            </w:r>
          </w:p>
        </w:tc>
        <w:tc>
          <w:tcPr>
            <w:tcW w:w="7253" w:type="dxa"/>
            <w:tcBorders>
              <w:top w:val="single" w:color="836967" w:sz="0"/>
              <w:left w:val="single" w:color="000000" w:sz="1"/>
              <w:bottom w:val="single" w:color="000000" w:sz="1"/>
              <w:right w:val="single" w:color="000000" w:sz="1"/>
            </w:tcBorders>
            <w:shd w:color="auto" w:fill="auto" w:val="clear"/>
            <w:tcMar>
              <w:left w:w="10" w:type="dxa"/>
              <w:right w:w="10" w:type="dxa"/>
            </w:tcMar>
            <w:vAlign w:val="top"/>
          </w:tcPr>
          <w:p>
            <w:pPr>
              <w:suppressLineNumber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Construcción de significado. (NP)</w:t>
            </w:r>
          </w:p>
        </w:tc>
      </w:tr>
      <w:tr>
        <w:trPr>
          <w:trHeight w:val="0" w:hRule="atLeast"/>
          <w:jc w:val="left"/>
        </w:trPr>
        <w:tc>
          <w:tcPr>
            <w:tcW w:w="1526" w:type="dxa"/>
            <w:tcBorders>
              <w:top w:val="single" w:color="836967" w:sz="0"/>
              <w:left w:val="single" w:color="000000" w:sz="1"/>
              <w:bottom w:val="single" w:color="000000" w:sz="1"/>
              <w:right w:val="single" w:color="836967" w:sz="0"/>
            </w:tcBorders>
            <w:shd w:color="auto" w:fill="auto" w:val="clear"/>
            <w:tcMar>
              <w:left w:w="10" w:type="dxa"/>
              <w:right w:w="10" w:type="dxa"/>
            </w:tcMar>
            <w:vAlign w:val="top"/>
          </w:tcPr>
          <w:p>
            <w:pPr>
              <w:suppressLineNumber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12</w:t>
            </w:r>
          </w:p>
        </w:tc>
        <w:tc>
          <w:tcPr>
            <w:tcW w:w="1193" w:type="dxa"/>
            <w:tcBorders>
              <w:top w:val="single" w:color="836967" w:sz="0"/>
              <w:left w:val="single" w:color="000000" w:sz="1"/>
              <w:bottom w:val="single" w:color="000000" w:sz="1"/>
              <w:right w:val="single" w:color="836967" w:sz="0"/>
            </w:tcBorders>
            <w:shd w:color="auto" w:fill="auto" w:val="clear"/>
            <w:tcMar>
              <w:left w:w="10" w:type="dxa"/>
              <w:right w:w="10" w:type="dxa"/>
            </w:tcMar>
            <w:vAlign w:val="top"/>
          </w:tcPr>
          <w:p>
            <w:pPr>
              <w:suppressLineNumber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4-NOV</w:t>
            </w:r>
          </w:p>
        </w:tc>
        <w:tc>
          <w:tcPr>
            <w:tcW w:w="7253" w:type="dxa"/>
            <w:tcBorders>
              <w:top w:val="single" w:color="836967" w:sz="0"/>
              <w:left w:val="single" w:color="000000" w:sz="1"/>
              <w:bottom w:val="single" w:color="000000" w:sz="1"/>
              <w:right w:val="single" w:color="000000" w:sz="1"/>
            </w:tcBorders>
            <w:shd w:color="auto" w:fill="auto" w:val="clear"/>
            <w:tcMar>
              <w:left w:w="10" w:type="dxa"/>
              <w:right w:w="10" w:type="dxa"/>
            </w:tcMar>
            <w:vAlign w:val="top"/>
          </w:tcPr>
          <w:p>
            <w:pPr>
              <w:suppressLineNumber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Comunicación entre Cientificos (CF)</w:t>
            </w:r>
          </w:p>
        </w:tc>
      </w:tr>
      <w:tr>
        <w:trPr>
          <w:trHeight w:val="0" w:hRule="atLeast"/>
          <w:jc w:val="left"/>
        </w:trPr>
        <w:tc>
          <w:tcPr>
            <w:tcW w:w="1526" w:type="dxa"/>
            <w:tcBorders>
              <w:top w:val="single" w:color="836967" w:sz="0"/>
              <w:left w:val="single" w:color="000000" w:sz="1"/>
              <w:bottom w:val="single" w:color="000000" w:sz="1"/>
              <w:right w:val="single" w:color="836967" w:sz="0"/>
            </w:tcBorders>
            <w:shd w:color="auto" w:fill="auto" w:val="clear"/>
            <w:tcMar>
              <w:left w:w="10" w:type="dxa"/>
              <w:right w:w="10" w:type="dxa"/>
            </w:tcMar>
            <w:vAlign w:val="top"/>
          </w:tcPr>
          <w:p>
            <w:pPr>
              <w:suppressLineNumber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13</w:t>
            </w:r>
          </w:p>
        </w:tc>
        <w:tc>
          <w:tcPr>
            <w:tcW w:w="1193" w:type="dxa"/>
            <w:tcBorders>
              <w:top w:val="single" w:color="836967" w:sz="0"/>
              <w:left w:val="single" w:color="000000" w:sz="1"/>
              <w:bottom w:val="single" w:color="000000" w:sz="1"/>
              <w:right w:val="single" w:color="836967" w:sz="0"/>
            </w:tcBorders>
            <w:shd w:color="auto" w:fill="auto" w:val="clear"/>
            <w:tcMar>
              <w:left w:w="10" w:type="dxa"/>
              <w:right w:w="10" w:type="dxa"/>
            </w:tcMar>
            <w:vAlign w:val="top"/>
          </w:tcPr>
          <w:p>
            <w:pPr>
              <w:suppressLineNumber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11-NOV</w:t>
            </w:r>
          </w:p>
        </w:tc>
        <w:tc>
          <w:tcPr>
            <w:tcW w:w="7253" w:type="dxa"/>
            <w:tcBorders>
              <w:top w:val="single" w:color="836967" w:sz="0"/>
              <w:left w:val="single" w:color="000000" w:sz="1"/>
              <w:bottom w:val="single" w:color="000000" w:sz="1"/>
              <w:right w:val="single" w:color="000000" w:sz="1"/>
            </w:tcBorders>
            <w:shd w:color="auto" w:fill="auto" w:val="clear"/>
            <w:tcMar>
              <w:left w:w="10" w:type="dxa"/>
              <w:right w:w="10" w:type="dxa"/>
            </w:tcMar>
            <w:vAlign w:val="top"/>
          </w:tcPr>
          <w:p>
            <w:pPr>
              <w:suppressLineNumber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quien le creo?: Las fuentes (MAPC)</w:t>
            </w:r>
          </w:p>
        </w:tc>
      </w:tr>
      <w:tr>
        <w:trPr>
          <w:trHeight w:val="0" w:hRule="atLeast"/>
          <w:jc w:val="left"/>
        </w:trPr>
        <w:tc>
          <w:tcPr>
            <w:tcW w:w="1526" w:type="dxa"/>
            <w:tcBorders>
              <w:top w:val="single" w:color="836967" w:sz="0"/>
              <w:left w:val="single" w:color="000000" w:sz="1"/>
              <w:bottom w:val="single" w:color="000000" w:sz="1"/>
              <w:right w:val="single" w:color="836967" w:sz="0"/>
            </w:tcBorders>
            <w:shd w:color="auto" w:fill="auto" w:val="clear"/>
            <w:tcMar>
              <w:left w:w="10" w:type="dxa"/>
              <w:right w:w="10" w:type="dxa"/>
            </w:tcMar>
            <w:vAlign w:val="top"/>
          </w:tcPr>
          <w:p>
            <w:pPr>
              <w:suppressLineNumber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14</w:t>
            </w:r>
          </w:p>
        </w:tc>
        <w:tc>
          <w:tcPr>
            <w:tcW w:w="1193" w:type="dxa"/>
            <w:tcBorders>
              <w:top w:val="single" w:color="836967" w:sz="0"/>
              <w:left w:val="single" w:color="000000" w:sz="1"/>
              <w:bottom w:val="single" w:color="000000" w:sz="1"/>
              <w:right w:val="single" w:color="836967" w:sz="0"/>
            </w:tcBorders>
            <w:shd w:color="auto" w:fill="auto" w:val="clear"/>
            <w:tcMar>
              <w:left w:w="10" w:type="dxa"/>
              <w:right w:w="10" w:type="dxa"/>
            </w:tcMar>
            <w:vAlign w:val="top"/>
          </w:tcPr>
          <w:p>
            <w:pPr>
              <w:suppressLineNumber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18-NOV</w:t>
            </w:r>
          </w:p>
        </w:tc>
        <w:tc>
          <w:tcPr>
            <w:tcW w:w="7253" w:type="dxa"/>
            <w:tcBorders>
              <w:top w:val="single" w:color="836967" w:sz="0"/>
              <w:left w:val="single" w:color="000000" w:sz="1"/>
              <w:bottom w:val="single" w:color="000000" w:sz="1"/>
              <w:right w:val="single" w:color="000000" w:sz="1"/>
            </w:tcBorders>
            <w:shd w:color="auto" w:fill="auto" w:val="clear"/>
            <w:tcMar>
              <w:left w:w="10" w:type="dxa"/>
              <w:right w:w="10" w:type="dxa"/>
            </w:tcMar>
            <w:vAlign w:val="top"/>
          </w:tcPr>
          <w:p>
            <w:pPr>
              <w:suppressLineNumber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Imaginarios sociales de la Ciencia (MAPC/CFB/NP)</w:t>
            </w:r>
          </w:p>
        </w:tc>
      </w:tr>
      <w:tr>
        <w:trPr>
          <w:trHeight w:val="0" w:hRule="atLeast"/>
          <w:jc w:val="left"/>
        </w:trPr>
        <w:tc>
          <w:tcPr>
            <w:tcW w:w="1526" w:type="dxa"/>
            <w:tcBorders>
              <w:top w:val="single" w:color="836967" w:sz="0"/>
              <w:left w:val="single" w:color="000000" w:sz="1"/>
              <w:bottom w:val="single" w:color="000000" w:sz="1"/>
              <w:right w:val="single" w:color="836967" w:sz="0"/>
            </w:tcBorders>
            <w:shd w:color="auto" w:fill="auto" w:val="clear"/>
            <w:tcMar>
              <w:left w:w="10" w:type="dxa"/>
              <w:right w:w="10" w:type="dxa"/>
            </w:tcMar>
            <w:vAlign w:val="top"/>
          </w:tcPr>
          <w:p>
            <w:pPr>
              <w:suppressLineNumber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15</w:t>
            </w:r>
          </w:p>
        </w:tc>
        <w:tc>
          <w:tcPr>
            <w:tcW w:w="1193" w:type="dxa"/>
            <w:tcBorders>
              <w:top w:val="single" w:color="836967" w:sz="0"/>
              <w:left w:val="single" w:color="000000" w:sz="1"/>
              <w:bottom w:val="single" w:color="000000" w:sz="1"/>
              <w:right w:val="single" w:color="836967" w:sz="0"/>
            </w:tcBorders>
            <w:shd w:color="auto" w:fill="auto" w:val="clear"/>
            <w:tcMar>
              <w:left w:w="10" w:type="dxa"/>
              <w:right w:w="10" w:type="dxa"/>
            </w:tcMar>
            <w:vAlign w:val="top"/>
          </w:tcPr>
          <w:p>
            <w:pPr>
              <w:suppressLineNumber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25-NOV</w:t>
            </w:r>
          </w:p>
        </w:tc>
        <w:tc>
          <w:tcPr>
            <w:tcW w:w="7253" w:type="dxa"/>
            <w:tcBorders>
              <w:top w:val="single" w:color="836967" w:sz="0"/>
              <w:left w:val="single" w:color="000000" w:sz="1"/>
              <w:bottom w:val="single" w:color="000000" w:sz="1"/>
              <w:right w:val="single" w:color="000000" w:sz="1"/>
            </w:tcBorders>
            <w:shd w:color="auto" w:fill="auto" w:val="clear"/>
            <w:tcMar>
              <w:left w:w="10" w:type="dxa"/>
              <w:right w:w="10" w:type="dxa"/>
            </w:tcMar>
            <w:vAlign w:val="top"/>
          </w:tcPr>
          <w:p>
            <w:pPr>
              <w:suppressLineNumber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Comunicación de la Ciencia chilena (MAPC/CFB/NP)</w:t>
            </w:r>
          </w:p>
        </w:tc>
      </w:tr>
      <w:tr>
        <w:trPr>
          <w:trHeight w:val="0" w:hRule="atLeast"/>
          <w:jc w:val="left"/>
        </w:trPr>
        <w:tc>
          <w:tcPr>
            <w:tcW w:w="1526" w:type="dxa"/>
            <w:tcBorders>
              <w:top w:val="single" w:color="836967" w:sz="0"/>
              <w:left w:val="single" w:color="000000" w:sz="1"/>
              <w:bottom w:val="single" w:color="000000" w:sz="1"/>
              <w:right w:val="single" w:color="836967" w:sz="0"/>
            </w:tcBorders>
            <w:shd w:color="auto" w:fill="auto" w:val="clear"/>
            <w:tcMar>
              <w:left w:w="10" w:type="dxa"/>
              <w:right w:w="10" w:type="dxa"/>
            </w:tcMar>
            <w:vAlign w:val="top"/>
          </w:tcPr>
          <w:p>
            <w:pPr>
              <w:suppressLineNumber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16</w:t>
            </w:r>
          </w:p>
        </w:tc>
        <w:tc>
          <w:tcPr>
            <w:tcW w:w="1193" w:type="dxa"/>
            <w:tcBorders>
              <w:top w:val="single" w:color="836967" w:sz="0"/>
              <w:left w:val="single" w:color="000000" w:sz="1"/>
              <w:bottom w:val="single" w:color="000000" w:sz="1"/>
              <w:right w:val="single" w:color="836967" w:sz="0"/>
            </w:tcBorders>
            <w:shd w:color="auto" w:fill="auto" w:val="clear"/>
            <w:tcMar>
              <w:left w:w="10" w:type="dxa"/>
              <w:right w:w="10" w:type="dxa"/>
            </w:tcMar>
            <w:vAlign w:val="top"/>
          </w:tcPr>
          <w:p>
            <w:pPr>
              <w:suppressLineNumber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2-DIC</w:t>
            </w:r>
          </w:p>
        </w:tc>
        <w:tc>
          <w:tcPr>
            <w:tcW w:w="7253" w:type="dxa"/>
            <w:tcBorders>
              <w:top w:val="single" w:color="836967" w:sz="0"/>
              <w:left w:val="single" w:color="000000" w:sz="1"/>
              <w:bottom w:val="single" w:color="000000" w:sz="1"/>
              <w:right w:val="single" w:color="000000" w:sz="1"/>
            </w:tcBorders>
            <w:shd w:color="auto" w:fill="auto" w:val="clear"/>
            <w:tcMar>
              <w:left w:w="10" w:type="dxa"/>
              <w:right w:w="10" w:type="dxa"/>
            </w:tcMar>
            <w:vAlign w:val="top"/>
          </w:tcPr>
          <w:p>
            <w:pPr>
              <w:suppressLineNumber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Exposición final de productos (MAPC/CFB/NP)</w:t>
            </w:r>
          </w:p>
        </w:tc>
      </w:tr>
    </w:tbl>
    <w:p>
      <w:pPr>
        <w:widowControl w:val="false"/>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i/>
          <w:color w:val="000000"/>
          <w:spacing w:val="0"/>
          <w:position w:val="0"/>
          <w:sz w:val="22"/>
          <w:shd w:fill="auto" w:val="clear"/>
        </w:rPr>
      </w:pPr>
    </w:p>
    <w:p>
      <w:pPr>
        <w:spacing w:before="0" w:after="0" w:line="240"/>
        <w:ind w:right="0" w:left="0" w:firstLine="0"/>
        <w:jc w:val="both"/>
        <w:rPr>
          <w:rFonts w:ascii="Arial" w:hAnsi="Arial" w:cs="Arial" w:eastAsia="Arial"/>
          <w:i/>
          <w:color w:val="000000"/>
          <w:spacing w:val="0"/>
          <w:position w:val="0"/>
          <w:sz w:val="22"/>
          <w:shd w:fill="auto" w:val="clear"/>
        </w:rPr>
      </w:pPr>
      <w:r>
        <w:rPr>
          <w:rFonts w:ascii="Arial" w:hAnsi="Arial" w:cs="Arial" w:eastAsia="Arial"/>
          <w:color w:val="auto"/>
          <w:spacing w:val="0"/>
          <w:position w:val="0"/>
          <w:sz w:val="22"/>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23">
    <w:abstractNumId w:val="18"/>
  </w:num>
  <w:num w:numId="71">
    <w:abstractNumId w:val="12"/>
  </w:num>
  <w:num w:numId="74">
    <w:abstractNumId w:val="6"/>
  </w:num>
  <w:num w:numId="7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