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1D" w:rsidRDefault="00A8161D" w:rsidP="00A8161D">
      <w:pPr>
        <w:spacing w:after="0"/>
        <w:ind w:right="254"/>
        <w:jc w:val="center"/>
      </w:pPr>
      <w:r>
        <w:rPr>
          <w:noProof/>
        </w:rPr>
        <w:drawing>
          <wp:inline distT="0" distB="0" distL="0" distR="0" wp14:anchorId="59F40CD7" wp14:editId="029D754B">
            <wp:extent cx="1101052" cy="636905"/>
            <wp:effectExtent l="0" t="0" r="0" b="0"/>
            <wp:docPr id="1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1052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A8161D" w:rsidRDefault="00A8161D" w:rsidP="00A8161D">
      <w:pPr>
        <w:spacing w:after="0"/>
        <w:ind w:left="280"/>
      </w:pPr>
      <w:r>
        <w:rPr>
          <w:b/>
          <w:sz w:val="20"/>
        </w:rPr>
        <w:t xml:space="preserve"> </w:t>
      </w:r>
    </w:p>
    <w:p w:rsidR="00A8161D" w:rsidRDefault="00A8161D" w:rsidP="00A8161D">
      <w:pPr>
        <w:spacing w:after="2"/>
        <w:ind w:right="311"/>
        <w:jc w:val="center"/>
      </w:pPr>
      <w:r>
        <w:rPr>
          <w:b/>
          <w:sz w:val="20"/>
          <w:u w:val="single" w:color="000000"/>
        </w:rPr>
        <w:t xml:space="preserve">RÚBRICA EVALUACIÓN </w:t>
      </w:r>
      <w:r w:rsidR="00141EE7">
        <w:rPr>
          <w:b/>
          <w:sz w:val="20"/>
          <w:u w:val="single" w:color="000000"/>
        </w:rPr>
        <w:t>INFORME PATOLOGIA NEONATAL</w:t>
      </w:r>
    </w:p>
    <w:p w:rsidR="00A8161D" w:rsidRDefault="00A8161D" w:rsidP="00A8161D">
      <w:pPr>
        <w:spacing w:after="1"/>
        <w:ind w:right="309"/>
        <w:jc w:val="center"/>
        <w:rPr>
          <w:b/>
          <w:sz w:val="20"/>
        </w:rPr>
      </w:pPr>
      <w:r>
        <w:rPr>
          <w:b/>
          <w:sz w:val="20"/>
        </w:rPr>
        <w:t xml:space="preserve">INTERNADO NEONATOLOGÍA  </w:t>
      </w:r>
    </w:p>
    <w:p w:rsidR="00274C0A" w:rsidRDefault="00274C0A" w:rsidP="00A8161D">
      <w:pPr>
        <w:spacing w:after="1"/>
        <w:ind w:right="309"/>
        <w:jc w:val="center"/>
        <w:rPr>
          <w:b/>
          <w:sz w:val="20"/>
        </w:rPr>
      </w:pPr>
    </w:p>
    <w:p w:rsidR="00A8161D" w:rsidRDefault="00A8161D" w:rsidP="00A8161D">
      <w:pPr>
        <w:spacing w:after="10"/>
        <w:ind w:right="210"/>
        <w:jc w:val="center"/>
      </w:pPr>
      <w:r>
        <w:rPr>
          <w:b/>
          <w:sz w:val="20"/>
        </w:rPr>
        <w:t xml:space="preserve">  </w:t>
      </w:r>
    </w:p>
    <w:p w:rsidR="00A8161D" w:rsidRDefault="00A8161D" w:rsidP="00A8161D">
      <w:pPr>
        <w:tabs>
          <w:tab w:val="center" w:pos="706"/>
          <w:tab w:val="center" w:pos="2703"/>
          <w:tab w:val="center" w:pos="5255"/>
          <w:tab w:val="center" w:pos="7803"/>
          <w:tab w:val="center" w:pos="9536"/>
        </w:tabs>
        <w:spacing w:after="0"/>
      </w:pPr>
      <w:r>
        <w:tab/>
      </w:r>
      <w:r w:rsidR="00752E6D">
        <w:rPr>
          <w:i/>
          <w:sz w:val="20"/>
        </w:rPr>
        <w:t>Niveles de</w:t>
      </w:r>
      <w:r>
        <w:rPr>
          <w:i/>
          <w:sz w:val="20"/>
        </w:rPr>
        <w:tab/>
      </w:r>
      <w:r>
        <w:rPr>
          <w:sz w:val="20"/>
        </w:rPr>
        <w:t>Nivel necesita mejorar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20"/>
        </w:rPr>
        <w:t xml:space="preserve">Nivel </w:t>
      </w:r>
      <w:r w:rsidR="00D848A1">
        <w:rPr>
          <w:sz w:val="20"/>
        </w:rPr>
        <w:t xml:space="preserve">esperado </w:t>
      </w:r>
      <w:r w:rsidR="00D848A1">
        <w:rPr>
          <w:sz w:val="20"/>
        </w:rPr>
        <w:tab/>
      </w:r>
      <w:r>
        <w:rPr>
          <w:sz w:val="20"/>
        </w:rPr>
        <w:t xml:space="preserve">Nivel destacado </w:t>
      </w:r>
      <w:r>
        <w:rPr>
          <w:sz w:val="20"/>
        </w:rPr>
        <w:tab/>
      </w:r>
      <w:r w:rsidR="00752E6D">
        <w:rPr>
          <w:sz w:val="20"/>
        </w:rPr>
        <w:t xml:space="preserve">Puntaje </w:t>
      </w:r>
    </w:p>
    <w:p w:rsidR="00A8161D" w:rsidRDefault="00A8161D" w:rsidP="00A8161D">
      <w:pPr>
        <w:tabs>
          <w:tab w:val="center" w:pos="705"/>
          <w:tab w:val="center" w:pos="2702"/>
          <w:tab w:val="center" w:pos="5258"/>
          <w:tab w:val="center" w:pos="7804"/>
        </w:tabs>
        <w:spacing w:after="0"/>
      </w:pPr>
      <w:r>
        <w:tab/>
      </w:r>
      <w:r w:rsidR="00752E6D">
        <w:rPr>
          <w:i/>
          <w:sz w:val="20"/>
        </w:rPr>
        <w:t>Logro.</w:t>
      </w:r>
      <w:r w:rsidR="00D848A1">
        <w:rPr>
          <w:i/>
          <w:sz w:val="20"/>
        </w:rPr>
        <w:tab/>
      </w:r>
      <w:r>
        <w:rPr>
          <w:sz w:val="20"/>
        </w:rPr>
        <w:t xml:space="preserve">0 </w:t>
      </w:r>
      <w:r>
        <w:rPr>
          <w:sz w:val="20"/>
        </w:rPr>
        <w:tab/>
        <w:t xml:space="preserve">1 </w:t>
      </w:r>
      <w:r>
        <w:rPr>
          <w:sz w:val="20"/>
        </w:rPr>
        <w:tab/>
        <w:t xml:space="preserve">2 </w:t>
      </w:r>
    </w:p>
    <w:tbl>
      <w:tblPr>
        <w:tblStyle w:val="Tablaconcuadrcula"/>
        <w:tblW w:w="9807" w:type="dxa"/>
        <w:tblLook w:val="04A0" w:firstRow="1" w:lastRow="0" w:firstColumn="1" w:lastColumn="0" w:noHBand="0" w:noVBand="1"/>
      </w:tblPr>
      <w:tblGrid>
        <w:gridCol w:w="1434"/>
        <w:gridCol w:w="2498"/>
        <w:gridCol w:w="2499"/>
        <w:gridCol w:w="2489"/>
        <w:gridCol w:w="887"/>
      </w:tblGrid>
      <w:tr w:rsidR="00A8161D" w:rsidTr="003F789E">
        <w:trPr>
          <w:trHeight w:val="671"/>
        </w:trPr>
        <w:tc>
          <w:tcPr>
            <w:tcW w:w="1434" w:type="dxa"/>
            <w:vMerge w:val="restart"/>
          </w:tcPr>
          <w:p w:rsidR="00A8161D" w:rsidRPr="003F789E" w:rsidRDefault="00A8161D" w:rsidP="0092383F">
            <w:pPr>
              <w:spacing w:after="461"/>
              <w:ind w:right="119"/>
              <w:jc w:val="center"/>
            </w:pPr>
            <w:r w:rsidRPr="003F789E">
              <w:rPr>
                <w:i/>
                <w:sz w:val="20"/>
              </w:rPr>
              <w:t>Formato</w:t>
            </w:r>
          </w:p>
          <w:p w:rsidR="003F789E" w:rsidRDefault="003F789E" w:rsidP="0092383F">
            <w:pPr>
              <w:ind w:right="118"/>
              <w:jc w:val="center"/>
              <w:rPr>
                <w:i/>
                <w:sz w:val="20"/>
              </w:rPr>
            </w:pPr>
          </w:p>
          <w:p w:rsidR="00A8161D" w:rsidRDefault="00A8161D" w:rsidP="0092383F">
            <w:pPr>
              <w:ind w:right="118"/>
              <w:jc w:val="center"/>
            </w:pPr>
            <w:r>
              <w:rPr>
                <w:i/>
                <w:sz w:val="20"/>
              </w:rPr>
              <w:t>Plazos de entrega</w:t>
            </w:r>
          </w:p>
        </w:tc>
        <w:tc>
          <w:tcPr>
            <w:tcW w:w="2498" w:type="dxa"/>
          </w:tcPr>
          <w:p w:rsidR="00A8161D" w:rsidRDefault="00A8161D" w:rsidP="00612145">
            <w:pPr>
              <w:ind w:left="10" w:right="118" w:hanging="10"/>
              <w:jc w:val="both"/>
            </w:pPr>
            <w:r>
              <w:rPr>
                <w:sz w:val="20"/>
              </w:rPr>
              <w:t>Cumple con menos del 100% de las indicaciones para formato.</w:t>
            </w:r>
            <w:r>
              <w:rPr>
                <w:b/>
              </w:rPr>
              <w:t xml:space="preserve"> </w:t>
            </w:r>
          </w:p>
        </w:tc>
        <w:tc>
          <w:tcPr>
            <w:tcW w:w="2499" w:type="dxa"/>
          </w:tcPr>
          <w:p w:rsidR="00A8161D" w:rsidRDefault="00A8161D" w:rsidP="00612145">
            <w:pPr>
              <w:ind w:left="4"/>
            </w:pPr>
          </w:p>
        </w:tc>
        <w:tc>
          <w:tcPr>
            <w:tcW w:w="2489" w:type="dxa"/>
          </w:tcPr>
          <w:p w:rsidR="00341478" w:rsidRDefault="00A8161D" w:rsidP="00612145">
            <w:pPr>
              <w:ind w:left="10" w:hanging="10"/>
              <w:jc w:val="both"/>
              <w:rPr>
                <w:sz w:val="20"/>
              </w:rPr>
            </w:pPr>
            <w:r>
              <w:rPr>
                <w:sz w:val="20"/>
              </w:rPr>
              <w:t>Cumple con el 100% de las indicaciones para formato.</w:t>
            </w:r>
          </w:p>
          <w:p w:rsidR="00A8161D" w:rsidRDefault="00A8161D" w:rsidP="00612145">
            <w:pPr>
              <w:ind w:left="10" w:hanging="10"/>
              <w:jc w:val="both"/>
            </w:pPr>
          </w:p>
        </w:tc>
        <w:tc>
          <w:tcPr>
            <w:tcW w:w="887" w:type="dxa"/>
          </w:tcPr>
          <w:p w:rsidR="00A8161D" w:rsidRDefault="00A8161D" w:rsidP="00612145">
            <w:pPr>
              <w:ind w:left="15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8161D" w:rsidTr="003F789E">
        <w:trPr>
          <w:trHeight w:val="675"/>
        </w:trPr>
        <w:tc>
          <w:tcPr>
            <w:tcW w:w="0" w:type="auto"/>
            <w:vMerge/>
          </w:tcPr>
          <w:p w:rsidR="00A8161D" w:rsidRDefault="00A8161D" w:rsidP="00612145"/>
        </w:tc>
        <w:tc>
          <w:tcPr>
            <w:tcW w:w="2498" w:type="dxa"/>
          </w:tcPr>
          <w:p w:rsidR="00A8161D" w:rsidRDefault="00A8161D" w:rsidP="00612145">
            <w:pPr>
              <w:ind w:left="10" w:right="109" w:hanging="10"/>
              <w:jc w:val="both"/>
            </w:pPr>
            <w:r>
              <w:rPr>
                <w:sz w:val="20"/>
              </w:rPr>
              <w:t xml:space="preserve">No cumple con el 100% de los plazos establecidos para este trabajo. </w:t>
            </w:r>
          </w:p>
        </w:tc>
        <w:tc>
          <w:tcPr>
            <w:tcW w:w="2499" w:type="dxa"/>
          </w:tcPr>
          <w:p w:rsidR="00A8161D" w:rsidRDefault="00A8161D" w:rsidP="00612145">
            <w:pPr>
              <w:ind w:left="14"/>
            </w:pPr>
          </w:p>
        </w:tc>
        <w:tc>
          <w:tcPr>
            <w:tcW w:w="2489" w:type="dxa"/>
          </w:tcPr>
          <w:p w:rsidR="00A8161D" w:rsidRDefault="00A8161D" w:rsidP="00612145">
            <w:pPr>
              <w:ind w:left="10" w:right="114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Cumple con el 100% de los plazos establecidos para este trabajo. </w:t>
            </w:r>
          </w:p>
          <w:p w:rsidR="00341478" w:rsidRDefault="00341478" w:rsidP="00612145">
            <w:pPr>
              <w:ind w:left="10" w:right="114" w:hanging="10"/>
              <w:jc w:val="both"/>
            </w:pPr>
            <w:r>
              <w:rPr>
                <w:sz w:val="20"/>
              </w:rPr>
              <w:t>x</w:t>
            </w:r>
          </w:p>
        </w:tc>
        <w:tc>
          <w:tcPr>
            <w:tcW w:w="887" w:type="dxa"/>
          </w:tcPr>
          <w:p w:rsidR="00A8161D" w:rsidRDefault="00A8161D" w:rsidP="00612145">
            <w:pPr>
              <w:ind w:left="15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8161D" w:rsidTr="003F789E">
        <w:trPr>
          <w:trHeight w:val="1105"/>
        </w:trPr>
        <w:tc>
          <w:tcPr>
            <w:tcW w:w="1434" w:type="dxa"/>
          </w:tcPr>
          <w:p w:rsidR="0092383F" w:rsidRDefault="0092383F" w:rsidP="0092383F">
            <w:pPr>
              <w:spacing w:line="245" w:lineRule="auto"/>
              <w:ind w:left="340"/>
              <w:rPr>
                <w:i/>
                <w:sz w:val="20"/>
              </w:rPr>
            </w:pPr>
          </w:p>
          <w:p w:rsidR="0092383F" w:rsidRDefault="0092383F" w:rsidP="0092383F">
            <w:pPr>
              <w:spacing w:line="245" w:lineRule="auto"/>
              <w:ind w:left="340"/>
              <w:rPr>
                <w:i/>
                <w:sz w:val="20"/>
              </w:rPr>
            </w:pPr>
          </w:p>
          <w:p w:rsidR="00A8161D" w:rsidRDefault="00A8161D" w:rsidP="0092383F">
            <w:pPr>
              <w:spacing w:line="245" w:lineRule="auto"/>
              <w:ind w:left="340"/>
            </w:pPr>
            <w:r>
              <w:rPr>
                <w:i/>
                <w:sz w:val="20"/>
              </w:rPr>
              <w:t>Integridad académica</w:t>
            </w:r>
            <w:r>
              <w:rPr>
                <w:b/>
                <w:i/>
              </w:rPr>
              <w:t xml:space="preserve"> </w:t>
            </w:r>
          </w:p>
          <w:p w:rsidR="00A8161D" w:rsidRDefault="00A8161D" w:rsidP="00612145">
            <w:pPr>
              <w:ind w:right="-15"/>
              <w:jc w:val="right"/>
            </w:pPr>
            <w:r>
              <w:rPr>
                <w:i/>
                <w:sz w:val="20"/>
              </w:rPr>
              <w:t xml:space="preserve">   </w:t>
            </w:r>
          </w:p>
        </w:tc>
        <w:tc>
          <w:tcPr>
            <w:tcW w:w="2498" w:type="dxa"/>
          </w:tcPr>
          <w:p w:rsidR="00A8161D" w:rsidRDefault="00A8161D" w:rsidP="00612145">
            <w:pPr>
              <w:ind w:left="10" w:right="118" w:hanging="10"/>
              <w:jc w:val="both"/>
            </w:pPr>
            <w:r>
              <w:rPr>
                <w:sz w:val="20"/>
              </w:rPr>
              <w:t xml:space="preserve">Menos del 100% del trabajo presentado es original y compromete más del 5% de plagio detectado por software o por imágenes. </w:t>
            </w:r>
          </w:p>
        </w:tc>
        <w:tc>
          <w:tcPr>
            <w:tcW w:w="2499" w:type="dxa"/>
          </w:tcPr>
          <w:p w:rsidR="00A8161D" w:rsidRDefault="00A8161D" w:rsidP="00612145">
            <w:pPr>
              <w:ind w:left="14"/>
            </w:pPr>
          </w:p>
        </w:tc>
        <w:tc>
          <w:tcPr>
            <w:tcW w:w="2489" w:type="dxa"/>
          </w:tcPr>
          <w:p w:rsidR="00A8161D" w:rsidRDefault="00A8161D" w:rsidP="00612145">
            <w:pPr>
              <w:ind w:left="10" w:right="112" w:hanging="10"/>
              <w:jc w:val="both"/>
            </w:pPr>
            <w:r>
              <w:rPr>
                <w:sz w:val="20"/>
              </w:rPr>
              <w:t xml:space="preserve">El 100% del trabajo presentado es original y no compromete más del 5% de plagio detectado por software o por imágenes. </w:t>
            </w:r>
          </w:p>
        </w:tc>
        <w:tc>
          <w:tcPr>
            <w:tcW w:w="887" w:type="dxa"/>
          </w:tcPr>
          <w:p w:rsidR="00A8161D" w:rsidRDefault="00A8161D" w:rsidP="00612145">
            <w:pPr>
              <w:ind w:left="15"/>
            </w:pPr>
            <w:r>
              <w:rPr>
                <w:sz w:val="20"/>
              </w:rPr>
              <w:t xml:space="preserve"> </w:t>
            </w:r>
          </w:p>
        </w:tc>
        <w:bookmarkStart w:id="0" w:name="_GoBack"/>
        <w:bookmarkEnd w:id="0"/>
      </w:tr>
      <w:tr w:rsidR="00A8161D" w:rsidTr="003F789E">
        <w:trPr>
          <w:trHeight w:val="2198"/>
        </w:trPr>
        <w:tc>
          <w:tcPr>
            <w:tcW w:w="1434" w:type="dxa"/>
          </w:tcPr>
          <w:p w:rsidR="0092383F" w:rsidRDefault="0092383F" w:rsidP="0092383F">
            <w:pPr>
              <w:ind w:right="120"/>
              <w:jc w:val="center"/>
              <w:rPr>
                <w:i/>
                <w:sz w:val="20"/>
              </w:rPr>
            </w:pPr>
          </w:p>
          <w:p w:rsidR="0092383F" w:rsidRDefault="0092383F" w:rsidP="0092383F">
            <w:pPr>
              <w:ind w:right="120"/>
              <w:jc w:val="center"/>
              <w:rPr>
                <w:i/>
                <w:sz w:val="20"/>
              </w:rPr>
            </w:pPr>
          </w:p>
          <w:p w:rsidR="0092383F" w:rsidRDefault="0092383F" w:rsidP="0092383F">
            <w:pPr>
              <w:ind w:right="120"/>
              <w:jc w:val="center"/>
              <w:rPr>
                <w:i/>
                <w:sz w:val="20"/>
              </w:rPr>
            </w:pPr>
          </w:p>
          <w:p w:rsidR="00A8161D" w:rsidRDefault="00A8161D" w:rsidP="0092383F">
            <w:pPr>
              <w:ind w:right="120"/>
              <w:jc w:val="center"/>
            </w:pPr>
            <w:r>
              <w:rPr>
                <w:i/>
                <w:sz w:val="20"/>
              </w:rPr>
              <w:t>Desarrollo del contenido</w:t>
            </w:r>
          </w:p>
        </w:tc>
        <w:tc>
          <w:tcPr>
            <w:tcW w:w="2498" w:type="dxa"/>
          </w:tcPr>
          <w:p w:rsidR="00A8161D" w:rsidRDefault="00A8161D" w:rsidP="00612145">
            <w:pPr>
              <w:ind w:left="10" w:hanging="10"/>
            </w:pPr>
            <w:r>
              <w:rPr>
                <w:sz w:val="20"/>
              </w:rPr>
              <w:t xml:space="preserve">No </w:t>
            </w:r>
            <w:r>
              <w:rPr>
                <w:sz w:val="20"/>
              </w:rPr>
              <w:tab/>
              <w:t xml:space="preserve">presenta </w:t>
            </w:r>
            <w:r>
              <w:rPr>
                <w:sz w:val="20"/>
              </w:rPr>
              <w:tab/>
              <w:t xml:space="preserve">todos </w:t>
            </w:r>
            <w:r>
              <w:rPr>
                <w:sz w:val="20"/>
              </w:rPr>
              <w:tab/>
              <w:t xml:space="preserve">los elementos solicitados en la guía y/o no describe con un lenguaje </w:t>
            </w:r>
            <w:r>
              <w:rPr>
                <w:sz w:val="20"/>
              </w:rPr>
              <w:tab/>
              <w:t>científico apropiado.</w:t>
            </w:r>
            <w:r>
              <w:rPr>
                <w:b/>
              </w:rPr>
              <w:t xml:space="preserve"> </w:t>
            </w:r>
          </w:p>
        </w:tc>
        <w:tc>
          <w:tcPr>
            <w:tcW w:w="2499" w:type="dxa"/>
          </w:tcPr>
          <w:p w:rsidR="00A8161D" w:rsidRDefault="00A8161D" w:rsidP="00612145">
            <w:pPr>
              <w:spacing w:line="235" w:lineRule="auto"/>
              <w:ind w:left="14" w:right="112" w:hanging="10"/>
              <w:jc w:val="both"/>
            </w:pPr>
            <w:r>
              <w:rPr>
                <w:sz w:val="20"/>
              </w:rPr>
              <w:t>Presenta los elementos solicitados en la guía, describiendo con un</w:t>
            </w:r>
            <w:r w:rsidR="003F789E">
              <w:rPr>
                <w:sz w:val="20"/>
              </w:rPr>
              <w:t xml:space="preserve"> lenguaje científico apropiado y levemente desarrollado.</w:t>
            </w:r>
          </w:p>
          <w:p w:rsidR="00A8161D" w:rsidRDefault="00A8161D" w:rsidP="00612145">
            <w:pPr>
              <w:ind w:left="1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</w:tcPr>
          <w:p w:rsidR="003F789E" w:rsidRDefault="00A8161D" w:rsidP="003F789E">
            <w:pPr>
              <w:ind w:left="10" w:right="112" w:hanging="10"/>
              <w:jc w:val="both"/>
              <w:rPr>
                <w:sz w:val="20"/>
              </w:rPr>
            </w:pPr>
            <w:r>
              <w:rPr>
                <w:sz w:val="20"/>
              </w:rPr>
              <w:t>Presenta los elementos solicitados en la guía, describiendo con un</w:t>
            </w:r>
            <w:r w:rsidR="003F789E">
              <w:rPr>
                <w:sz w:val="20"/>
              </w:rPr>
              <w:t xml:space="preserve"> lenguaje científico apropiado y muy bien desarrollado </w:t>
            </w:r>
          </w:p>
          <w:p w:rsidR="003F789E" w:rsidRDefault="003F789E" w:rsidP="003F789E">
            <w:pPr>
              <w:ind w:left="10" w:right="112" w:hanging="10"/>
              <w:jc w:val="both"/>
              <w:rPr>
                <w:sz w:val="20"/>
              </w:rPr>
            </w:pPr>
          </w:p>
          <w:p w:rsidR="00A8161D" w:rsidRDefault="00A8161D" w:rsidP="003F789E">
            <w:pPr>
              <w:ind w:right="112"/>
              <w:jc w:val="both"/>
            </w:pPr>
          </w:p>
        </w:tc>
        <w:tc>
          <w:tcPr>
            <w:tcW w:w="887" w:type="dxa"/>
          </w:tcPr>
          <w:p w:rsidR="00A8161D" w:rsidRDefault="00A8161D" w:rsidP="00612145">
            <w:pPr>
              <w:ind w:left="15"/>
            </w:pPr>
            <w:r>
              <w:rPr>
                <w:sz w:val="20"/>
              </w:rPr>
              <w:t xml:space="preserve"> </w:t>
            </w:r>
          </w:p>
        </w:tc>
      </w:tr>
      <w:tr w:rsidR="003F789E" w:rsidTr="003F789E">
        <w:trPr>
          <w:trHeight w:val="1538"/>
        </w:trPr>
        <w:tc>
          <w:tcPr>
            <w:tcW w:w="1434" w:type="dxa"/>
          </w:tcPr>
          <w:p w:rsidR="003F789E" w:rsidRDefault="003F789E" w:rsidP="0092383F">
            <w:pPr>
              <w:ind w:left="47" w:right="119" w:hanging="47"/>
              <w:rPr>
                <w:i/>
                <w:sz w:val="20"/>
              </w:rPr>
            </w:pPr>
            <w:r>
              <w:rPr>
                <w:i/>
                <w:sz w:val="20"/>
              </w:rPr>
              <w:t>Presenta una propuesta innovadora en la creación del informe</w:t>
            </w:r>
          </w:p>
        </w:tc>
        <w:tc>
          <w:tcPr>
            <w:tcW w:w="2498" w:type="dxa"/>
          </w:tcPr>
          <w:p w:rsidR="003F789E" w:rsidRDefault="003F789E" w:rsidP="003F789E">
            <w:pPr>
              <w:spacing w:line="234" w:lineRule="auto"/>
              <w:ind w:left="10" w:right="113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contenido presentado cumple con menos de lo básico solicitado en la guía, con una propuesta poco innovadora y didáctica. </w:t>
            </w:r>
          </w:p>
        </w:tc>
        <w:tc>
          <w:tcPr>
            <w:tcW w:w="2499" w:type="dxa"/>
          </w:tcPr>
          <w:p w:rsidR="003F789E" w:rsidRDefault="003F789E" w:rsidP="003F789E">
            <w:pPr>
              <w:ind w:left="14" w:right="122" w:hanging="10"/>
              <w:jc w:val="both"/>
              <w:rPr>
                <w:sz w:val="20"/>
              </w:rPr>
            </w:pPr>
            <w:r>
              <w:rPr>
                <w:sz w:val="20"/>
              </w:rPr>
              <w:t>El contenido presentado cumple con lo básico solicitado en la guía.</w:t>
            </w:r>
            <w:r>
              <w:rPr>
                <w:sz w:val="20"/>
              </w:rPr>
              <w:t xml:space="preserve"> Presenta aspectos levemente innovadores, cae en algunas redundancias.</w:t>
            </w:r>
          </w:p>
        </w:tc>
        <w:tc>
          <w:tcPr>
            <w:tcW w:w="2489" w:type="dxa"/>
          </w:tcPr>
          <w:p w:rsidR="003F789E" w:rsidRDefault="003F789E" w:rsidP="003F789E">
            <w:pPr>
              <w:spacing w:line="239" w:lineRule="auto"/>
              <w:ind w:left="10" w:hanging="10"/>
              <w:jc w:val="both"/>
              <w:rPr>
                <w:sz w:val="20"/>
              </w:rPr>
            </w:pPr>
            <w:r>
              <w:rPr>
                <w:sz w:val="20"/>
              </w:rPr>
              <w:t>El contenido presentado, es creativo, innovador y didáctico, atractivo para el lector. No cae en redundancias.</w:t>
            </w:r>
          </w:p>
        </w:tc>
        <w:tc>
          <w:tcPr>
            <w:tcW w:w="887" w:type="dxa"/>
          </w:tcPr>
          <w:p w:rsidR="003F789E" w:rsidRDefault="003F789E" w:rsidP="003F789E">
            <w:pPr>
              <w:ind w:left="15"/>
            </w:pPr>
          </w:p>
        </w:tc>
      </w:tr>
      <w:tr w:rsidR="003F789E" w:rsidTr="003F789E">
        <w:trPr>
          <w:trHeight w:val="2640"/>
        </w:trPr>
        <w:tc>
          <w:tcPr>
            <w:tcW w:w="1434" w:type="dxa"/>
          </w:tcPr>
          <w:p w:rsidR="003F789E" w:rsidRDefault="003F789E" w:rsidP="003F78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    </w:t>
            </w:r>
          </w:p>
          <w:p w:rsidR="003F789E" w:rsidRDefault="003F789E" w:rsidP="003F78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3F789E" w:rsidRDefault="003F789E" w:rsidP="003F789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:rsidR="003F789E" w:rsidRPr="003F789E" w:rsidRDefault="003F789E" w:rsidP="0092383F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F789E">
              <w:rPr>
                <w:i/>
                <w:sz w:val="20"/>
                <w:szCs w:val="20"/>
              </w:rPr>
              <w:t>Respuesta a pregunta de reflexión.</w:t>
            </w:r>
          </w:p>
        </w:tc>
        <w:tc>
          <w:tcPr>
            <w:tcW w:w="2498" w:type="dxa"/>
          </w:tcPr>
          <w:p w:rsidR="003F789E" w:rsidRDefault="003F789E" w:rsidP="003F789E">
            <w:pPr>
              <w:ind w:left="10" w:right="118" w:hanging="10"/>
              <w:jc w:val="both"/>
            </w:pPr>
            <w:r>
              <w:rPr>
                <w:sz w:val="20"/>
              </w:rPr>
              <w:t xml:space="preserve"> No realiza nuevos aportes, ni se distingue su opinión de la reducción de planteamientos extractados de la literatura.</w:t>
            </w:r>
          </w:p>
        </w:tc>
        <w:tc>
          <w:tcPr>
            <w:tcW w:w="2499" w:type="dxa"/>
          </w:tcPr>
          <w:p w:rsidR="003F789E" w:rsidRPr="003F789E" w:rsidRDefault="003F789E" w:rsidP="003F789E">
            <w:pPr>
              <w:ind w:left="14" w:right="122" w:hanging="10"/>
              <w:jc w:val="both"/>
              <w:rPr>
                <w:sz w:val="20"/>
                <w:szCs w:val="20"/>
              </w:rPr>
            </w:pPr>
            <w:r w:rsidRPr="003F789E">
              <w:rPr>
                <w:sz w:val="20"/>
                <w:szCs w:val="20"/>
              </w:rPr>
              <w:t>Hace aportes y se distingue levemente su opinión, de la reproducción de planteamientos extractados de la literatura.</w:t>
            </w:r>
          </w:p>
        </w:tc>
        <w:tc>
          <w:tcPr>
            <w:tcW w:w="2489" w:type="dxa"/>
          </w:tcPr>
          <w:p w:rsidR="003F789E" w:rsidRPr="003F789E" w:rsidRDefault="003F789E" w:rsidP="003F789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3F789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Hace nuevos aportes, se</w:t>
            </w:r>
          </w:p>
          <w:p w:rsidR="003F789E" w:rsidRPr="003F789E" w:rsidRDefault="003F789E" w:rsidP="003F789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3F789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distingue claramente su opinión de la mera reproducción de</w:t>
            </w:r>
          </w:p>
          <w:p w:rsidR="003F789E" w:rsidRPr="003F789E" w:rsidRDefault="003F789E" w:rsidP="003F789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3F789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planteamientos extractados de la literatura. Buen m</w:t>
            </w: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anejo de </w:t>
            </w:r>
            <w:r w:rsidRPr="003F789E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conceptos</w:t>
            </w:r>
          </w:p>
        </w:tc>
        <w:tc>
          <w:tcPr>
            <w:tcW w:w="887" w:type="dxa"/>
          </w:tcPr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ind w:left="15"/>
              <w:rPr>
                <w:sz w:val="20"/>
              </w:rPr>
            </w:pPr>
          </w:p>
          <w:p w:rsidR="003F789E" w:rsidRDefault="003F789E" w:rsidP="003F789E">
            <w:pPr>
              <w:rPr>
                <w:sz w:val="20"/>
              </w:rPr>
            </w:pPr>
          </w:p>
        </w:tc>
      </w:tr>
      <w:tr w:rsidR="003F789E" w:rsidTr="003F789E">
        <w:trPr>
          <w:trHeight w:val="2640"/>
        </w:trPr>
        <w:tc>
          <w:tcPr>
            <w:tcW w:w="1434" w:type="dxa"/>
          </w:tcPr>
          <w:p w:rsidR="003F789E" w:rsidRDefault="003F789E" w:rsidP="0092383F">
            <w:pPr>
              <w:jc w:val="center"/>
            </w:pPr>
            <w:r>
              <w:rPr>
                <w:i/>
                <w:sz w:val="20"/>
              </w:rPr>
              <w:t>Evidencia científica</w:t>
            </w:r>
          </w:p>
        </w:tc>
        <w:tc>
          <w:tcPr>
            <w:tcW w:w="2498" w:type="dxa"/>
          </w:tcPr>
          <w:p w:rsidR="003F789E" w:rsidRDefault="003F789E" w:rsidP="003F789E">
            <w:pPr>
              <w:ind w:left="10" w:right="118" w:hanging="10"/>
              <w:jc w:val="both"/>
            </w:pPr>
            <w:r>
              <w:rPr>
                <w:sz w:val="20"/>
              </w:rPr>
              <w:t xml:space="preserve">Menos del 90% de la evidencia científica utilizada es actualizada (mayor al año 2015) y/o no toda proviene de fuentes principales publicados en motores de búsqueda científicos. </w:t>
            </w:r>
          </w:p>
        </w:tc>
        <w:tc>
          <w:tcPr>
            <w:tcW w:w="2499" w:type="dxa"/>
          </w:tcPr>
          <w:p w:rsidR="003F789E" w:rsidRDefault="003F789E" w:rsidP="003F789E">
            <w:pPr>
              <w:spacing w:after="2" w:line="238" w:lineRule="auto"/>
              <w:ind w:left="14" w:right="112" w:hanging="10"/>
              <w:jc w:val="both"/>
            </w:pPr>
            <w:r>
              <w:rPr>
                <w:sz w:val="20"/>
              </w:rPr>
              <w:t xml:space="preserve">El 90% de la evidencia científica utilizada es actualizada (mayor al año </w:t>
            </w:r>
          </w:p>
          <w:p w:rsidR="003F789E" w:rsidRDefault="003F789E" w:rsidP="003F789E">
            <w:pPr>
              <w:ind w:left="14" w:right="116"/>
              <w:jc w:val="both"/>
            </w:pPr>
            <w:r>
              <w:rPr>
                <w:sz w:val="20"/>
              </w:rPr>
              <w:t xml:space="preserve">2015) y de fuentes principales publicados en motores de búsqueda científicos. </w:t>
            </w:r>
          </w:p>
        </w:tc>
        <w:tc>
          <w:tcPr>
            <w:tcW w:w="2489" w:type="dxa"/>
          </w:tcPr>
          <w:p w:rsidR="003F789E" w:rsidRDefault="003F789E" w:rsidP="003F789E">
            <w:pPr>
              <w:spacing w:after="3" w:line="238" w:lineRule="auto"/>
              <w:ind w:left="10" w:right="119" w:hanging="10"/>
              <w:jc w:val="both"/>
            </w:pPr>
            <w:r>
              <w:rPr>
                <w:sz w:val="20"/>
              </w:rPr>
              <w:t xml:space="preserve">El 100% de la evidencia científica utilizada es actualizada (mayor al año </w:t>
            </w:r>
          </w:p>
          <w:p w:rsidR="003F789E" w:rsidRDefault="003F789E" w:rsidP="003F789E">
            <w:pPr>
              <w:ind w:left="10" w:right="111"/>
              <w:jc w:val="both"/>
            </w:pPr>
            <w:r>
              <w:rPr>
                <w:sz w:val="20"/>
              </w:rPr>
              <w:t xml:space="preserve">2015) y de fuentes principales publicados en motores de búsqueda científicos. </w:t>
            </w:r>
          </w:p>
        </w:tc>
        <w:tc>
          <w:tcPr>
            <w:tcW w:w="887" w:type="dxa"/>
          </w:tcPr>
          <w:p w:rsidR="003F789E" w:rsidRDefault="003F789E" w:rsidP="003F789E">
            <w:pPr>
              <w:ind w:left="15"/>
              <w:rPr>
                <w:sz w:val="20"/>
              </w:rPr>
            </w:pPr>
          </w:p>
        </w:tc>
      </w:tr>
    </w:tbl>
    <w:p w:rsidR="003F789E" w:rsidRDefault="00A8161D" w:rsidP="00A8161D">
      <w:pPr>
        <w:spacing w:after="0"/>
        <w:ind w:left="280"/>
      </w:pPr>
      <w:r>
        <w:rPr>
          <w:b/>
        </w:rPr>
        <w:t xml:space="preserve"> </w:t>
      </w:r>
    </w:p>
    <w:p w:rsidR="00A8161D" w:rsidRDefault="00A8161D" w:rsidP="00A8161D">
      <w:pPr>
        <w:spacing w:after="0"/>
        <w:ind w:left="280"/>
      </w:pPr>
    </w:p>
    <w:p w:rsidR="00A8161D" w:rsidRDefault="00A8161D" w:rsidP="00A8161D">
      <w:pPr>
        <w:spacing w:after="1"/>
        <w:ind w:left="280"/>
      </w:pPr>
      <w:r>
        <w:rPr>
          <w:sz w:val="20"/>
        </w:rPr>
        <w:t xml:space="preserve">   </w:t>
      </w:r>
    </w:p>
    <w:p w:rsidR="00CF6A6E" w:rsidRDefault="00CF6A6E" w:rsidP="00D848A1">
      <w:pPr>
        <w:spacing w:after="0"/>
        <w:ind w:left="280"/>
      </w:pPr>
    </w:p>
    <w:sectPr w:rsidR="00CF6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1D"/>
    <w:rsid w:val="00141EE7"/>
    <w:rsid w:val="00274C0A"/>
    <w:rsid w:val="00341478"/>
    <w:rsid w:val="003F789E"/>
    <w:rsid w:val="00462169"/>
    <w:rsid w:val="00752E6D"/>
    <w:rsid w:val="0092383F"/>
    <w:rsid w:val="00A8161D"/>
    <w:rsid w:val="00AE38BF"/>
    <w:rsid w:val="00C55F88"/>
    <w:rsid w:val="00CF6A6E"/>
    <w:rsid w:val="00D848A1"/>
    <w:rsid w:val="00E2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C7D0"/>
  <w15:chartTrackingRefBased/>
  <w15:docId w15:val="{755D0CBB-F978-4882-8A34-C56738A7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1D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8161D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F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franq</cp:lastModifiedBy>
  <cp:revision>11</cp:revision>
  <dcterms:created xsi:type="dcterms:W3CDTF">2023-09-26T20:09:00Z</dcterms:created>
  <dcterms:modified xsi:type="dcterms:W3CDTF">2024-01-16T14:29:00Z</dcterms:modified>
</cp:coreProperties>
</file>