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ind w:left="0" w:hanging="2"/>
        <w:jc w:val="center"/>
        <w:rPr/>
      </w:pPr>
      <w:r w:rsidDel="00000000" w:rsidR="00000000" w:rsidRPr="00000000">
        <w:rPr>
          <w:b w:val="1"/>
          <w:rtl w:val="0"/>
        </w:rPr>
        <w:t xml:space="preserve">TALLER EXAMEN GINECOLÓGICO Y TOMA DE PAP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ind w:left="0" w:hanging="2"/>
        <w:jc w:val="center"/>
        <w:rPr>
          <w:u w:val="single"/>
        </w:rPr>
      </w:pPr>
      <w:r w:rsidDel="00000000" w:rsidR="00000000" w:rsidRPr="00000000">
        <w:rPr>
          <w:b w:val="1"/>
          <w:highlight w:val="yellow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ind w:left="0" w:hanging="2"/>
        <w:jc w:val="center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ind w:left="0" w:hanging="2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Logros de aprendizaje: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08.6614173228347" w:hanging="708.6614173228347"/>
        <w:jc w:val="both"/>
        <w:rPr>
          <w:color w:val="000000"/>
        </w:rPr>
      </w:pPr>
      <w:r w:rsidDel="00000000" w:rsidR="00000000" w:rsidRPr="00000000">
        <w:rPr>
          <w:rtl w:val="0"/>
        </w:rPr>
        <w:t xml:space="preserve">Explica el fundamento del tamizaje de PAP y sus indicaciones. 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08.6614173228347" w:hanging="708.6614173228347"/>
        <w:jc w:val="both"/>
        <w:rPr/>
      </w:pPr>
      <w:r w:rsidDel="00000000" w:rsidR="00000000" w:rsidRPr="00000000">
        <w:rPr>
          <w:rtl w:val="0"/>
        </w:rPr>
        <w:t xml:space="preserve">Identifica los aspectos semiológicos que se evalúan durante el examen ginecológico.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  <w:t xml:space="preserve">Demuestra la técnica de examen ginecológico y toma de PAP.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ind w:left="0" w:hanging="2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Acciones: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lineRule="auto"/>
        <w:ind w:left="708.6614173228347" w:hanging="708.6614173228347"/>
        <w:jc w:val="both"/>
        <w:rPr/>
      </w:pPr>
      <w:r w:rsidDel="00000000" w:rsidR="00000000" w:rsidRPr="00000000">
        <w:rPr>
          <w:rtl w:val="0"/>
        </w:rPr>
        <w:t xml:space="preserve">Los estudiantes deben asistir presencialmente a la Facultad de Medicina, según la distribución publicada en la plataforma U-cursos . 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lineRule="auto"/>
        <w:ind w:left="708.6614173228347" w:hanging="708.6614173228347"/>
        <w:jc w:val="both"/>
        <w:rPr/>
      </w:pPr>
      <w:r w:rsidDel="00000000" w:rsidR="00000000" w:rsidRPr="00000000">
        <w:rPr>
          <w:rtl w:val="0"/>
        </w:rPr>
        <w:t xml:space="preserve">Revisar material complementario sobre toma de PAP y examen ginecológico disponible en plataforma U-cursos.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lineRule="auto"/>
        <w:ind w:left="708.6614173228347" w:hanging="708.6614173228347"/>
        <w:jc w:val="both"/>
        <w:rPr/>
      </w:pPr>
      <w:r w:rsidDel="00000000" w:rsidR="00000000" w:rsidRPr="00000000">
        <w:rPr>
          <w:rtl w:val="0"/>
        </w:rPr>
        <w:t xml:space="preserve">Al iniciar el taller su docente realizará una demostración de la técnica en un fantoma. Luego, por turnos, cada estudiante demostrará la técnica aprendida y recibirá retroalimentación.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lineRule="auto"/>
        <w:ind w:left="708.6614173228347" w:hanging="708.6614173228347"/>
        <w:jc w:val="both"/>
        <w:rPr/>
      </w:pPr>
      <w:r w:rsidDel="00000000" w:rsidR="00000000" w:rsidRPr="00000000">
        <w:rPr>
          <w:rtl w:val="0"/>
        </w:rPr>
        <w:t xml:space="preserve">Esta es una actividad sumativa en cuya evaluación se considerarán los siguientes aspectos: puntualidad, responder a las preguntas planteadas y manejo de la técnica. Los estándares a evaluar están especificados en la rúbrica correspondiente.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lineRule="auto"/>
        <w:ind w:left="708.6614173228347" w:hanging="708.6614173228347"/>
        <w:jc w:val="both"/>
        <w:rPr/>
      </w:pPr>
      <w:r w:rsidDel="00000000" w:rsidR="00000000" w:rsidRPr="00000000">
        <w:rPr>
          <w:rtl w:val="0"/>
        </w:rPr>
        <w:t xml:space="preserve">Al finalizar la actividad se aplicará un mini test con preguntas relacionadas con el taller.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ind w:left="708.6614173228347" w:hanging="708.661417322834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ind w:left="1" w:hanging="3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1" w:hanging="3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after="0" w:line="240" w:lineRule="auto"/>
      <w:ind w:left="0" w:hanging="2"/>
      <w:jc w:val="right"/>
      <w:rPr>
        <w:rFonts w:ascii="Times New Roman" w:cs="Times New Roman" w:eastAsia="Times New Roman" w:hAnsi="Times New Roman"/>
        <w:color w:val="000000"/>
        <w:sz w:val="20"/>
        <w:szCs w:val="20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spacing w:after="0" w:lineRule="auto"/>
      <w:ind w:hanging="2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  <w:t xml:space="preserve">GSE/VAL/JPM/CNJ 2023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0"/>
        <w:szCs w:val="2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pBdr>
        <w:bottom w:color="000000" w:space="2" w:sz="12" w:val="single"/>
        <w:right w:color="000000" w:space="2" w:sz="12" w:val="single"/>
      </w:pBdr>
      <w:ind w:left="0" w:right="-929" w:hanging="2"/>
      <w:jc w:val="right"/>
      <w:rPr/>
    </w:pPr>
    <w:r w:rsidDel="00000000" w:rsidR="00000000" w:rsidRPr="00000000">
      <w:rPr>
        <w:b w:val="1"/>
        <w:sz w:val="24"/>
        <w:szCs w:val="24"/>
        <w:rtl w:val="0"/>
      </w:rPr>
      <w:t xml:space="preserve">CLÍNICA DE ATENCIÓN PRIMARIA I                </w:t>
      <w:br w:type="textWrapping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-609599</wp:posOffset>
          </wp:positionH>
          <wp:positionV relativeFrom="paragraph">
            <wp:posOffset>-352424</wp:posOffset>
          </wp:positionV>
          <wp:extent cx="458153" cy="734773"/>
          <wp:effectExtent b="0" l="0" r="0" t="0"/>
          <wp:wrapSquare wrapText="bothSides" distB="0" distT="0" distL="0" distR="0"/>
          <wp:docPr id="103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8153" cy="73477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502" w:hanging="360"/>
      </w:pPr>
      <w:rPr>
        <w:b w:val="1"/>
        <w:vertAlign w:val="baseline"/>
      </w:rPr>
    </w:lvl>
    <w:lvl w:ilvl="1">
      <w:start w:val="1"/>
      <w:numFmt w:val="decimal"/>
      <w:lvlText w:val="%1.%2"/>
      <w:lvlJc w:val="left"/>
      <w:pPr>
        <w:ind w:left="862" w:hanging="360"/>
      </w:pPr>
      <w:rPr>
        <w:b w:val="0"/>
        <w:vertAlign w:val="baseline"/>
      </w:rPr>
    </w:lvl>
    <w:lvl w:ilvl="2">
      <w:start w:val="1"/>
      <w:numFmt w:val="decimal"/>
      <w:lvlText w:val="%1.%2.%3"/>
      <w:lvlJc w:val="left"/>
      <w:pPr>
        <w:ind w:left="1582" w:hanging="720.0000000000005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942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662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022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742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102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822" w:hanging="180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L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uiPriority w:val="9"/>
    <w:semiHidden w:val="1"/>
    <w:unhideWhenUsed w:val="1"/>
    <w:qFormat w:val="1"/>
    <w:pPr>
      <w:spacing w:after="100" w:afterAutospacing="1" w:before="100" w:beforeAutospacing="1" w:line="240" w:lineRule="auto"/>
      <w:outlineLvl w:val="2"/>
    </w:pPr>
    <w:rPr>
      <w:rFonts w:ascii="Times New Roman" w:cs="Times New Roman" w:hAnsi="Times New Roman"/>
      <w:b w:val="1"/>
      <w:bCs w:val="1"/>
      <w:sz w:val="27"/>
      <w:szCs w:val="27"/>
      <w:lang w:eastAsia="es-CL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rrafodelista">
    <w:name w:val="List Paragraph"/>
    <w:basedOn w:val="Normal"/>
    <w:pPr>
      <w:ind w:left="720"/>
      <w:contextualSpacing w:val="1"/>
    </w:pPr>
    <w:rPr>
      <w:lang w:eastAsia="es-CL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  <w:rPr>
      <w:rFonts w:ascii="Times New Roman" w:cs="Times New Roman" w:hAnsi="Times New Roman"/>
      <w:sz w:val="20"/>
      <w:szCs w:val="20"/>
    </w:rPr>
  </w:style>
  <w:style w:type="character" w:styleId="EncabezadoCar" w:customStyle="1">
    <w:name w:val="Encabezado Car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  <w:rPr>
      <w:rFonts w:ascii="Times New Roman" w:cs="Times New Roman" w:hAnsi="Times New Roman"/>
      <w:sz w:val="20"/>
      <w:szCs w:val="20"/>
    </w:rPr>
  </w:style>
  <w:style w:type="character" w:styleId="PiedepginaCar" w:customStyle="1">
    <w:name w:val="Pie de página Car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spacing w:after="0" w:line="240" w:lineRule="auto"/>
      <w:jc w:val="both"/>
    </w:pPr>
    <w:rPr>
      <w:rFonts w:ascii="Times New Roman" w:cs="Times New Roman" w:hAnsi="Times New Roman"/>
      <w:sz w:val="20"/>
      <w:szCs w:val="20"/>
      <w:lang w:eastAsia="es-ES" w:val="es-ES"/>
    </w:rPr>
  </w:style>
  <w:style w:type="character" w:styleId="TextoindependienteCar" w:customStyle="1">
    <w:name w:val="Texto independiente Car"/>
    <w:rPr>
      <w:rFonts w:ascii="Times New Roman" w:cs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es-ES" w:val="es-ES"/>
    </w:rPr>
  </w:style>
  <w:style w:type="table" w:styleId="Tablaconcuadrcula">
    <w:name w:val="Table Grid"/>
    <w:basedOn w:val="Tablanormal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tulo3Car" w:customStyle="1">
    <w:name w:val="Título 3 Car"/>
    <w:rPr>
      <w:rFonts w:ascii="Times New Roman" w:hAnsi="Times New Roman"/>
      <w:b w:val="1"/>
      <w:bCs w:val="1"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Textoennegrita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s+nUdqBGW169Q3q1qtf2GU4wJg==">CgMxLjA4AHIhMXFsWGxwRUpOS1dMTzRPRDBsRjBCU1ozREU1ckRTWHZp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2021-10-04T20:39:00Z</dcterms:created>
  <dc:creator>Loreto</dc:creator>
</cp:coreProperties>
</file>