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51D21" w:rsidRDefault="00E038F1">
      <w:pPr>
        <w:spacing w:after="200" w:line="240" w:lineRule="auto"/>
        <w:jc w:val="center"/>
        <w:rPr>
          <w:b/>
        </w:rPr>
      </w:pPr>
      <w:bookmarkStart w:id="0" w:name="_GoBack"/>
      <w:bookmarkEnd w:id="0"/>
      <w:r>
        <w:rPr>
          <w:b/>
        </w:rPr>
        <w:t xml:space="preserve">Guía de análisis de </w:t>
      </w:r>
      <w:proofErr w:type="gramStart"/>
      <w:r>
        <w:rPr>
          <w:b/>
        </w:rPr>
        <w:t>caso  Sesión</w:t>
      </w:r>
      <w:proofErr w:type="gramEnd"/>
      <w:r>
        <w:rPr>
          <w:b/>
        </w:rPr>
        <w:t xml:space="preserve"> 13 Unidad III </w:t>
      </w:r>
    </w:p>
    <w:p w14:paraId="00000002" w14:textId="77777777" w:rsidR="00E51D21" w:rsidRDefault="00E038F1">
      <w:pPr>
        <w:spacing w:after="200" w:line="240" w:lineRule="auto"/>
        <w:jc w:val="center"/>
        <w:rPr>
          <w:b/>
        </w:rPr>
      </w:pPr>
      <w:r>
        <w:rPr>
          <w:b/>
        </w:rPr>
        <w:t xml:space="preserve">30 de </w:t>
      </w:r>
      <w:proofErr w:type="gramStart"/>
      <w:r>
        <w:rPr>
          <w:b/>
        </w:rPr>
        <w:t>Junio</w:t>
      </w:r>
      <w:proofErr w:type="gramEnd"/>
      <w:r>
        <w:rPr>
          <w:b/>
        </w:rPr>
        <w:t xml:space="preserve"> 2022</w:t>
      </w:r>
    </w:p>
    <w:p w14:paraId="00000003" w14:textId="77777777" w:rsidR="00E51D21" w:rsidRDefault="00E038F1">
      <w:pPr>
        <w:spacing w:after="200" w:line="276" w:lineRule="auto"/>
      </w:pPr>
      <w:r>
        <w:rPr>
          <w:b/>
        </w:rPr>
        <w:t xml:space="preserve">Logros de aprendizaje de la sesión  </w:t>
      </w:r>
    </w:p>
    <w:p w14:paraId="00000004" w14:textId="77777777" w:rsidR="00E51D21" w:rsidRDefault="00E038F1">
      <w:pPr>
        <w:numPr>
          <w:ilvl w:val="0"/>
          <w:numId w:val="4"/>
        </w:numPr>
        <w:spacing w:after="0" w:line="240" w:lineRule="auto"/>
        <w:ind w:right="-40"/>
        <w:jc w:val="both"/>
      </w:pPr>
      <w:r>
        <w:t>Analizar las causas de los eventos adversos en salud que impactan en la seguridad del paciente.</w:t>
      </w:r>
    </w:p>
    <w:p w14:paraId="00000005" w14:textId="77777777" w:rsidR="00E51D21" w:rsidRDefault="00E51D21">
      <w:pPr>
        <w:spacing w:after="0" w:line="240" w:lineRule="auto"/>
        <w:jc w:val="both"/>
      </w:pPr>
    </w:p>
    <w:p w14:paraId="00000006" w14:textId="77777777" w:rsidR="00E51D21" w:rsidRDefault="00E038F1">
      <w:pPr>
        <w:numPr>
          <w:ilvl w:val="0"/>
          <w:numId w:val="2"/>
        </w:numPr>
        <w:spacing w:after="0" w:line="240" w:lineRule="auto"/>
        <w:ind w:right="-40"/>
        <w:jc w:val="both"/>
      </w:pPr>
      <w:r>
        <w:t>Analizar las conductas erradas más frecuentes y el impacto en la atención de salud de las personas</w:t>
      </w:r>
    </w:p>
    <w:p w14:paraId="00000007" w14:textId="77777777" w:rsidR="00E51D21" w:rsidRDefault="00E51D21">
      <w:pPr>
        <w:spacing w:after="0" w:line="240" w:lineRule="auto"/>
      </w:pPr>
    </w:p>
    <w:p w14:paraId="00000008" w14:textId="77777777" w:rsidR="00E51D21" w:rsidRDefault="00E51D21">
      <w:pPr>
        <w:spacing w:after="0" w:line="240" w:lineRule="auto"/>
      </w:pPr>
    </w:p>
    <w:p w14:paraId="00000009" w14:textId="77777777" w:rsidR="00E51D21" w:rsidRDefault="00E038F1">
      <w:pPr>
        <w:spacing w:after="200" w:line="276" w:lineRule="auto"/>
      </w:pPr>
      <w:r>
        <w:rPr>
          <w:b/>
        </w:rPr>
        <w:t xml:space="preserve">Actividad: </w:t>
      </w:r>
    </w:p>
    <w:p w14:paraId="0000000A" w14:textId="77777777" w:rsidR="00E51D21" w:rsidRDefault="00E038F1">
      <w:pPr>
        <w:numPr>
          <w:ilvl w:val="0"/>
          <w:numId w:val="3"/>
        </w:numPr>
        <w:spacing w:after="0" w:line="276" w:lineRule="auto"/>
      </w:pPr>
      <w:r>
        <w:t xml:space="preserve">Reflexionar junto a su equipo de trabajo, sobre </w:t>
      </w:r>
      <w:proofErr w:type="gramStart"/>
      <w:r>
        <w:t>lectura  del</w:t>
      </w:r>
      <w:proofErr w:type="gramEnd"/>
      <w:r>
        <w:t xml:space="preserve"> caso presentado</w:t>
      </w:r>
    </w:p>
    <w:p w14:paraId="0000000B" w14:textId="77777777" w:rsidR="00E51D21" w:rsidRDefault="00E038F1">
      <w:pPr>
        <w:numPr>
          <w:ilvl w:val="0"/>
          <w:numId w:val="3"/>
        </w:numPr>
        <w:spacing w:after="200" w:line="276" w:lineRule="auto"/>
      </w:pPr>
      <w:r>
        <w:t xml:space="preserve">Responder junto a su equipo la pauta guía durante la sesión junto </w:t>
      </w:r>
      <w:r>
        <w:t xml:space="preserve">al PEC. </w:t>
      </w:r>
    </w:p>
    <w:p w14:paraId="0000000C" w14:textId="77777777" w:rsidR="00E51D21" w:rsidRDefault="00E038F1">
      <w:pPr>
        <w:spacing w:after="200" w:line="276" w:lineRule="auto"/>
        <w:rPr>
          <w:b/>
        </w:rPr>
      </w:pPr>
      <w:r>
        <w:rPr>
          <w:b/>
        </w:rPr>
        <w:t>Preguntas pauta guía</w:t>
      </w:r>
    </w:p>
    <w:p w14:paraId="0000000D" w14:textId="77777777" w:rsidR="00E51D21" w:rsidRDefault="00E038F1">
      <w:pPr>
        <w:numPr>
          <w:ilvl w:val="0"/>
          <w:numId w:val="1"/>
        </w:numPr>
        <w:spacing w:after="0" w:line="276" w:lineRule="auto"/>
      </w:pPr>
      <w:r>
        <w:t xml:space="preserve">¿Qué aspectos de la seguridad del paciente se ven alterados en el caso y cuáles son las causas de los eventos </w:t>
      </w:r>
      <w:proofErr w:type="gramStart"/>
      <w:r>
        <w:t>adversos ?</w:t>
      </w:r>
      <w:proofErr w:type="gramEnd"/>
      <w:r>
        <w:t xml:space="preserve"> </w:t>
      </w:r>
    </w:p>
    <w:p w14:paraId="0000000E" w14:textId="77777777" w:rsidR="00E51D21" w:rsidRDefault="00E038F1">
      <w:pPr>
        <w:numPr>
          <w:ilvl w:val="0"/>
          <w:numId w:val="1"/>
        </w:numPr>
        <w:spacing w:after="0" w:line="276" w:lineRule="auto"/>
      </w:pPr>
      <w:r>
        <w:t>Dé ejemplos de las conductas erradas presentes en este caso.</w:t>
      </w:r>
    </w:p>
    <w:p w14:paraId="0000000F" w14:textId="77777777" w:rsidR="00E51D21" w:rsidRDefault="00E038F1">
      <w:pPr>
        <w:numPr>
          <w:ilvl w:val="0"/>
          <w:numId w:val="1"/>
        </w:numPr>
        <w:spacing w:after="0" w:line="276" w:lineRule="auto"/>
      </w:pPr>
      <w:r>
        <w:t xml:space="preserve">Plantee una propuesta para desarrollar una </w:t>
      </w:r>
      <w:r>
        <w:t xml:space="preserve">atención centrada en el paciente y que disminuya la posibilidad de cometer errores en la atención de salud en este caso </w:t>
      </w:r>
    </w:p>
    <w:p w14:paraId="00000010" w14:textId="77777777" w:rsidR="00E51D21" w:rsidRDefault="00E51D21">
      <w:pPr>
        <w:rPr>
          <w:rFonts w:ascii="Arial" w:eastAsia="Arial" w:hAnsi="Arial" w:cs="Arial"/>
          <w:color w:val="404040"/>
          <w:sz w:val="23"/>
          <w:szCs w:val="23"/>
          <w:highlight w:val="white"/>
        </w:rPr>
      </w:pPr>
    </w:p>
    <w:p w14:paraId="00000011" w14:textId="77777777" w:rsidR="00E51D21" w:rsidRDefault="00E038F1">
      <w:pPr>
        <w:rPr>
          <w:b/>
          <w:sz w:val="23"/>
          <w:szCs w:val="23"/>
          <w:highlight w:val="white"/>
        </w:rPr>
      </w:pPr>
      <w:r>
        <w:rPr>
          <w:b/>
          <w:sz w:val="23"/>
          <w:szCs w:val="23"/>
          <w:highlight w:val="white"/>
        </w:rPr>
        <w:t>CASO 1</w:t>
      </w:r>
    </w:p>
    <w:p w14:paraId="00000012" w14:textId="77777777" w:rsidR="00E51D21" w:rsidRDefault="00E038F1">
      <w:pPr>
        <w:jc w:val="both"/>
        <w:rPr>
          <w:sz w:val="23"/>
          <w:szCs w:val="23"/>
          <w:highlight w:val="white"/>
        </w:rPr>
      </w:pPr>
      <w:r>
        <w:rPr>
          <w:sz w:val="23"/>
          <w:szCs w:val="23"/>
          <w:highlight w:val="white"/>
        </w:rPr>
        <w:t>En los procesos de aprendizaje cometer errores es normal y, la mayoría de las veces, algo positivo. Pero hay profesiones en las que una sola equivocación puede resultar fatal. La estudiante de cuarto año de Enfermería en la Universidad, cometió uno de esos</w:t>
      </w:r>
      <w:r>
        <w:rPr>
          <w:sz w:val="23"/>
          <w:szCs w:val="23"/>
          <w:highlight w:val="white"/>
        </w:rPr>
        <w:t xml:space="preserve"> errores mientras realizaba su práctica profesional en el </w:t>
      </w:r>
      <w:proofErr w:type="gramStart"/>
      <w:r>
        <w:rPr>
          <w:sz w:val="23"/>
          <w:szCs w:val="23"/>
          <w:highlight w:val="white"/>
        </w:rPr>
        <w:t>Hospital .</w:t>
      </w:r>
      <w:proofErr w:type="gramEnd"/>
      <w:r>
        <w:rPr>
          <w:sz w:val="23"/>
          <w:szCs w:val="23"/>
          <w:highlight w:val="white"/>
        </w:rPr>
        <w:t xml:space="preserve"> La madrugada del miércoles 6 de agosto debía preparar la heparina que sería suministrada a 11 pacientes hospitalizados. Pero se equivocó y en vez de heparina preparó insulina. La enfermer</w:t>
      </w:r>
      <w:r>
        <w:rPr>
          <w:sz w:val="23"/>
          <w:szCs w:val="23"/>
          <w:highlight w:val="white"/>
        </w:rPr>
        <w:t xml:space="preserve">a a cargo tomó la preparación y la inoculó, tal como había indicado el médico de turno. La reacción fue en cadena y, uno tras otro, los 11 pacientes cayeron en graves cuadros de hipoglicemia. Dos murieron esa misma madrugada, una mujer y un hombre de 81 y </w:t>
      </w:r>
      <w:r>
        <w:rPr>
          <w:sz w:val="23"/>
          <w:szCs w:val="23"/>
          <w:highlight w:val="white"/>
        </w:rPr>
        <w:t>82 años. Un tercer paciente falleció dos semanas después.</w:t>
      </w:r>
    </w:p>
    <w:p w14:paraId="00000013" w14:textId="77777777" w:rsidR="00E51D21" w:rsidRDefault="00E038F1">
      <w:pPr>
        <w:jc w:val="both"/>
        <w:rPr>
          <w:sz w:val="23"/>
          <w:szCs w:val="23"/>
          <w:highlight w:val="white"/>
        </w:rPr>
      </w:pPr>
      <w:r>
        <w:rPr>
          <w:sz w:val="23"/>
          <w:szCs w:val="23"/>
          <w:highlight w:val="white"/>
        </w:rPr>
        <w:t>Un médico y dos enfermeras fueron notificados por su presunta responsabilidad en el hecho y que podrían ser sancionados con amonestaciones por escrito, descuentos en sus remuneraciones, suspensión o</w:t>
      </w:r>
      <w:r>
        <w:rPr>
          <w:sz w:val="23"/>
          <w:szCs w:val="23"/>
          <w:highlight w:val="white"/>
        </w:rPr>
        <w:t xml:space="preserve"> la destitución. Como el sumario no ha sido visado por la Contraloría General de la República, el informe aún es secreto. Mientras, los tres funcionarios continúan trabajando en el hospital. Pero nada se ha dicho sobre las responsabilidades de la estudiant</w:t>
      </w:r>
      <w:r>
        <w:rPr>
          <w:sz w:val="23"/>
          <w:szCs w:val="23"/>
          <w:highlight w:val="white"/>
        </w:rPr>
        <w:t>e que preparó la insulina y de la enfermera que la suministró. Las dos quedaron al margen de la investigación por no ser funcionarias de planta de la institución. La primera realizaba su práctica profesional y la segunda había sido contratada como refuerzo</w:t>
      </w:r>
      <w:r>
        <w:rPr>
          <w:sz w:val="23"/>
          <w:szCs w:val="23"/>
          <w:highlight w:val="white"/>
        </w:rPr>
        <w:t xml:space="preserve"> de la campaña de invierno del hospital. Ninguna sigue trabajando en el recinto.</w:t>
      </w:r>
    </w:p>
    <w:p w14:paraId="00000014" w14:textId="77777777" w:rsidR="00E51D21" w:rsidRDefault="00E51D21">
      <w:pPr>
        <w:jc w:val="both"/>
        <w:rPr>
          <w:sz w:val="23"/>
          <w:szCs w:val="23"/>
          <w:highlight w:val="white"/>
        </w:rPr>
      </w:pPr>
    </w:p>
    <w:p w14:paraId="00000015" w14:textId="77777777" w:rsidR="00E51D21" w:rsidRDefault="00E51D21">
      <w:pPr>
        <w:jc w:val="both"/>
        <w:rPr>
          <w:sz w:val="23"/>
          <w:szCs w:val="23"/>
          <w:highlight w:val="white"/>
        </w:rPr>
      </w:pPr>
    </w:p>
    <w:p w14:paraId="00000016" w14:textId="77777777" w:rsidR="00E51D21" w:rsidRDefault="00E51D21">
      <w:pPr>
        <w:jc w:val="both"/>
        <w:rPr>
          <w:sz w:val="23"/>
          <w:szCs w:val="23"/>
          <w:highlight w:val="white"/>
        </w:rPr>
      </w:pPr>
    </w:p>
    <w:p w14:paraId="00000017" w14:textId="77777777" w:rsidR="00E51D21" w:rsidRDefault="00E51D21">
      <w:pPr>
        <w:jc w:val="both"/>
        <w:rPr>
          <w:sz w:val="23"/>
          <w:szCs w:val="23"/>
          <w:highlight w:val="white"/>
        </w:rPr>
      </w:pPr>
    </w:p>
    <w:p w14:paraId="00000018" w14:textId="77777777" w:rsidR="00E51D21" w:rsidRDefault="00E51D21">
      <w:pPr>
        <w:jc w:val="both"/>
        <w:rPr>
          <w:sz w:val="23"/>
          <w:szCs w:val="23"/>
          <w:highlight w:val="white"/>
        </w:rPr>
      </w:pPr>
    </w:p>
    <w:p w14:paraId="00000019" w14:textId="77777777" w:rsidR="00E51D21" w:rsidRDefault="00E51D21">
      <w:pPr>
        <w:jc w:val="both"/>
        <w:rPr>
          <w:sz w:val="23"/>
          <w:szCs w:val="23"/>
          <w:highlight w:val="white"/>
        </w:rPr>
      </w:pPr>
    </w:p>
    <w:p w14:paraId="0000001A" w14:textId="77777777" w:rsidR="00E51D21" w:rsidRDefault="00E51D21">
      <w:pPr>
        <w:jc w:val="both"/>
        <w:rPr>
          <w:sz w:val="23"/>
          <w:szCs w:val="23"/>
          <w:highlight w:val="white"/>
        </w:rPr>
      </w:pPr>
    </w:p>
    <w:p w14:paraId="0000001B" w14:textId="77777777" w:rsidR="00E51D21" w:rsidRDefault="00E51D21">
      <w:pPr>
        <w:jc w:val="both"/>
        <w:rPr>
          <w:sz w:val="23"/>
          <w:szCs w:val="23"/>
          <w:highlight w:val="white"/>
        </w:rPr>
      </w:pPr>
      <w:bookmarkStart w:id="1" w:name="_gjdgxs" w:colFirst="0" w:colLast="0"/>
      <w:bookmarkEnd w:id="1"/>
    </w:p>
    <w:p w14:paraId="0000001C" w14:textId="77777777" w:rsidR="00E51D21" w:rsidRDefault="00E51D21">
      <w:pPr>
        <w:jc w:val="both"/>
        <w:rPr>
          <w:color w:val="404040"/>
          <w:sz w:val="23"/>
          <w:szCs w:val="23"/>
          <w:highlight w:val="white"/>
        </w:rPr>
      </w:pPr>
    </w:p>
    <w:p w14:paraId="0000001D" w14:textId="77777777" w:rsidR="00E51D21" w:rsidRDefault="00E51D21">
      <w:pPr>
        <w:rPr>
          <w:color w:val="404040"/>
          <w:sz w:val="23"/>
          <w:szCs w:val="23"/>
          <w:highlight w:val="white"/>
        </w:rPr>
      </w:pPr>
    </w:p>
    <w:p w14:paraId="0000001E" w14:textId="77777777" w:rsidR="00E51D21" w:rsidRDefault="00E51D21">
      <w:pPr>
        <w:rPr>
          <w:color w:val="404040"/>
          <w:sz w:val="23"/>
          <w:szCs w:val="23"/>
          <w:highlight w:val="white"/>
        </w:rPr>
      </w:pPr>
    </w:p>
    <w:p w14:paraId="0000001F" w14:textId="77777777" w:rsidR="00E51D21" w:rsidRDefault="00E51D21">
      <w:pPr>
        <w:rPr>
          <w:color w:val="404040"/>
          <w:sz w:val="23"/>
          <w:szCs w:val="23"/>
          <w:highlight w:val="white"/>
        </w:rPr>
      </w:pPr>
    </w:p>
    <w:p w14:paraId="00000020" w14:textId="77777777" w:rsidR="00E51D21" w:rsidRDefault="00E51D21">
      <w:pPr>
        <w:rPr>
          <w:rFonts w:ascii="Arial" w:eastAsia="Arial" w:hAnsi="Arial" w:cs="Arial"/>
          <w:color w:val="404040"/>
          <w:sz w:val="23"/>
          <w:szCs w:val="23"/>
          <w:highlight w:val="white"/>
        </w:rPr>
      </w:pPr>
    </w:p>
    <w:p w14:paraId="00000021" w14:textId="77777777" w:rsidR="00E51D21" w:rsidRDefault="00E51D21">
      <w:pPr>
        <w:rPr>
          <w:rFonts w:ascii="Arial" w:eastAsia="Arial" w:hAnsi="Arial" w:cs="Arial"/>
          <w:color w:val="404040"/>
          <w:sz w:val="23"/>
          <w:szCs w:val="23"/>
          <w:highlight w:val="white"/>
        </w:rPr>
      </w:pPr>
    </w:p>
    <w:p w14:paraId="00000022" w14:textId="77777777" w:rsidR="00E51D21" w:rsidRDefault="00E51D21"/>
    <w:sectPr w:rsidR="00E51D21">
      <w:footerReference w:type="default" r:id="rId7"/>
      <w:pgSz w:w="12240" w:h="15840"/>
      <w:pgMar w:top="56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84F4" w14:textId="77777777" w:rsidR="00E038F1" w:rsidRDefault="00E038F1">
      <w:pPr>
        <w:spacing w:after="0" w:line="240" w:lineRule="auto"/>
      </w:pPr>
      <w:r>
        <w:separator/>
      </w:r>
    </w:p>
  </w:endnote>
  <w:endnote w:type="continuationSeparator" w:id="0">
    <w:p w14:paraId="7E693070" w14:textId="77777777" w:rsidR="00E038F1" w:rsidRDefault="00E0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E51D21" w:rsidRDefault="00E038F1">
    <w:pPr>
      <w:jc w:val="right"/>
    </w:pPr>
    <w:r>
      <w:t>Equipo Coordinador MIIM 1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24E9" w14:textId="77777777" w:rsidR="00E038F1" w:rsidRDefault="00E038F1">
      <w:pPr>
        <w:spacing w:after="0" w:line="240" w:lineRule="auto"/>
      </w:pPr>
      <w:r>
        <w:separator/>
      </w:r>
    </w:p>
  </w:footnote>
  <w:footnote w:type="continuationSeparator" w:id="0">
    <w:p w14:paraId="17E33E05" w14:textId="77777777" w:rsidR="00E038F1" w:rsidRDefault="00E03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21A"/>
    <w:multiLevelType w:val="multilevel"/>
    <w:tmpl w:val="2E5E4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FA7690"/>
    <w:multiLevelType w:val="multilevel"/>
    <w:tmpl w:val="7AA68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7D1C79"/>
    <w:multiLevelType w:val="multilevel"/>
    <w:tmpl w:val="F67CA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0B4528"/>
    <w:multiLevelType w:val="multilevel"/>
    <w:tmpl w:val="A60CA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21"/>
    <w:rsid w:val="007A6FAD"/>
    <w:rsid w:val="00E038F1"/>
    <w:rsid w:val="00E51D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393FC-F042-43ED-85BC-3E513D63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pjlopezsanchez@live.com</cp:lastModifiedBy>
  <cp:revision>2</cp:revision>
  <dcterms:created xsi:type="dcterms:W3CDTF">2022-06-29T20:43:00Z</dcterms:created>
  <dcterms:modified xsi:type="dcterms:W3CDTF">2022-06-29T20:43:00Z</dcterms:modified>
</cp:coreProperties>
</file>