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2105025" cy="92392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923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  <w:t xml:space="preserve">Caso Clínico 7:  Climaterio/ginecología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Elsa, usuaria de 49 años, dueña de casa. Acude a control ginecológico con Matrona/ón. No ha asistido a control con matrona/ón desde hace 3 años.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           Hoy consulta porque refiere que está con insomnio, sensación de calor                 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           intenso que aparece repentinamente, tipo bochorno y disminución del deseo sexual.     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           Ciclos: irregulares. Con periodos de amenorrea. MAC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Esterilización quirúrgica.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          Además, refiere estar preocupada porque ha tenido problemas con su pareja por su  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        bajo deseo sexual, además él la crítica junto a sus dos hijas por su mal humor. Se  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         siente  triste y llora casi todos los días por estos problemas familiares.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Antecedentes de Elsa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Exámenes: Mx 2018: BIRADS 1, PAP 10/2018: IG8 J1,  VDRL 09/2018: NR 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AMP no refiere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Hábitos: TQ: 2-3 cig/día retomó el cigarrillo hace 3 meses , OH: social, muy poco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           Drogas:(-), Actividad física (-)   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Antecedentes del control actual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PA: 140/90, Talla: 157,5 cm,   Peso actual: 83 kilos.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FUR: 01/10/2020, Flujo: abundante, Duración: 3 días, Dolor: poco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Examen ginecológico: TV normal, 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acuerdo con la situación planteada desarrolle : </w:t>
      </w:r>
    </w:p>
    <w:p w:rsidR="00000000" w:rsidDel="00000000" w:rsidP="00000000" w:rsidRDefault="00000000" w:rsidRPr="00000000" w14:paraId="0000001A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Complemente anamnesis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Formule Hipótesis Diagnóstica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Describa su conducta de matrón/matrona a realizar en este control.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¿Qué exámenes solicita o tomaría a Elsa? 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85084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85084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007D2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ht26T6SzJtc/WR83n5Aq2mO+Fw==">AMUW2mU58LLqvk0UBaHbKIgPamDik0Educ/8fN5YOwwkzoX2BlPMrbsRrBvhJi77/X+LXojPINR3fIJoONOPlvnkGzNwdhGXeUhjb4z/EeSfQ5L/B02gPe1bEtv97/0bprHKjihDhtMk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2020-07-31T02:55:00Z</dcterms:created>
  <dc:creator>Gioconda</dc:creator>
</cp:coreProperties>
</file>