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Taller evaluado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rtl w:val="0"/>
        </w:rPr>
        <w:t xml:space="preserve">Objetivo: </w:t>
      </w:r>
      <w:r w:rsidDel="00000000" w:rsidR="00000000" w:rsidRPr="00000000">
        <w:rPr>
          <w:rtl w:val="0"/>
        </w:rPr>
        <w:t xml:space="preserve">Describe principales conceptos y estrategias de visualización de datos cuantitativos (gráficos y tablas) y los principales estadígrafos descriptivos de la tendencia central y dispersión en estudios cuantitativos.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 integrantes del grupo.</w:t>
      </w:r>
    </w:p>
    <w:p w:rsidR="00000000" w:rsidDel="00000000" w:rsidP="00000000" w:rsidRDefault="00000000" w:rsidRPr="00000000" w14:paraId="0000000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8190"/>
        <w:tblGridChange w:id="0">
          <w:tblGrid>
            <w:gridCol w:w="810"/>
            <w:gridCol w:w="8190"/>
          </w:tblGrid>
        </w:tblGridChange>
      </w:tblGrid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integrante del grupo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Instrucciones del taller. </w:t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El siguiente taller debe ser resuelto en los grupos conformados por los equipos de trabajo, distribución disponible en U-Cursos. </w:t>
      </w:r>
    </w:p>
    <w:p w:rsidR="00000000" w:rsidDel="00000000" w:rsidP="00000000" w:rsidRDefault="00000000" w:rsidRPr="00000000" w14:paraId="0000001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Tendrán 90 minutos para desarrollarlos de manera tutorizada por un docente para el curso. La fecha de entrega de este trabajo es el día </w:t>
      </w:r>
      <w:r w:rsidDel="00000000" w:rsidR="00000000" w:rsidRPr="00000000">
        <w:rPr>
          <w:b w:val="1"/>
          <w:rtl w:val="0"/>
        </w:rPr>
        <w:t xml:space="preserve">viernes 27 de noviembre hasta las 23.59.</w:t>
      </w:r>
      <w:r w:rsidDel="00000000" w:rsidR="00000000" w:rsidRPr="00000000">
        <w:rPr>
          <w:rtl w:val="0"/>
        </w:rPr>
        <w:t xml:space="preserve"> El atraso implica un descuento de 1 punto, es decir, si obtienen un 7,0, la nota final será un 6,0. Se habilitará un foro para resolver dudas tras la jornada tutorizada. </w:t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Cada grupo debe desarrollar las actividades descritas a continuación.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base a los siguientes conceptos, construya un mapa conceptual sobre los estadígrafos descriptivos vistos en clase. Puede usar los siguientes programas: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44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Dibujos de google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CMAP Tools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Otros que les acomode.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7.5"/>
        <w:gridCol w:w="2227.5"/>
        <w:gridCol w:w="2227.5"/>
        <w:gridCol w:w="2227.5"/>
        <w:tblGridChange w:id="0">
          <w:tblGrid>
            <w:gridCol w:w="2227.5"/>
            <w:gridCol w:w="2227.5"/>
            <w:gridCol w:w="2227.5"/>
            <w:gridCol w:w="2227.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Distribución paramétrica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Distribución no paramétrica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Mediana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Desviación Estándar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Rango intercuartílico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Estadística de Tendencia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Percentil 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Mínimo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Estadígrafos de dispersión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Percentil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</w:t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Estadígrafos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Campana de Gauss</w:t>
            </w:r>
          </w:p>
        </w:tc>
      </w:tr>
    </w:tbl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3. Desarrolle una tabla comparativa de fortalezas y debilidades de los siguientes tipos de gráficos: línea, columna,  histograma, torta, boxplot y dispersión. Agregué una impresión de pantalla con la función recortar de su computador sobre “las opciones de gráficos que tiene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2070"/>
        <w:gridCol w:w="2190"/>
        <w:gridCol w:w="2610"/>
        <w:tblGridChange w:id="0">
          <w:tblGrid>
            <w:gridCol w:w="2145"/>
            <w:gridCol w:w="2070"/>
            <w:gridCol w:w="2190"/>
            <w:gridCol w:w="2610"/>
          </w:tblGrid>
        </w:tblGridChange>
      </w:tblGrid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Concepto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Fortaleza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Debilidades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¿Cuáles son las opciones de gráficos que entrega?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Ejemplo: Gráfico de radial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Permite visualizar distintas variables a la vez sobre un fenómeno.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Es bien explicativo sin conocer la interpretación completa.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 es muy conocido.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Tiene mejor visualización cuando las variables son cualitativas ordinales.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48639" cy="17083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50836" l="38364" r="43829" t="11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639" cy="1708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Gráfico de línea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Gráfico de columna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Gráfico de histograma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Gráfico de torta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Gráfico de caja y bigotes o boxplot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Gráfico de dispersión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4. Describa e interprete, en sus propias palabras, el siguiente gráfico del artículo Antileo-Pinto C, et al. Estancia hospitalaria y funcionalidad en pacientes con retraso en el inicio de tratamiento de fisioterapia. Rehabilitación (Madr). 2020.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https://doi.org/10.1016/j.rh.2020.07.004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9304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3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  <w:t xml:space="preserve">5. Describa e interprete, en sus propias palabras, la siguiente tabla del artículo Antileo-Pinto C, et al. Estancia hospitalaria y funcionalidad en pacientes con retraso en el inicio de tratamiento de fisioterapia. Rehabilitación (Madr). 2020.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https://doi.org/10.1016/j.rh.2020.07.004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67691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76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  <w:t xml:space="preserve">6. Clasifique al menos 5 variables del artículo Antileo-Pinto C, et al. Estancia hospitalaria y funcionalidad en pacientes con retraso en el inicio de tratamiento de fisioterapia. Rehabilitación (Madr). 2020.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https://doi.org/10.1016/j.rh.2020.07.004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5.51181102362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.6433173126087"/>
        <w:gridCol w:w="4336.934246855507"/>
        <w:gridCol w:w="4336.934246855507"/>
        <w:tblGridChange w:id="0">
          <w:tblGrid>
            <w:gridCol w:w="351.6433173126087"/>
            <w:gridCol w:w="4336.934246855507"/>
            <w:gridCol w:w="4336.934246855507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variable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variable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ind w:left="72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  <w:t xml:space="preserve">7. Describa e interprete, en sus propias palabras, la siguiente tabla del artículo Pastén-Hidalgo WF, van Niekerk-Bakit NA, Calzadilla-Núñez A, Aguilera-Olivares F, Díaz-Narváez VP. Empatía en estudiantes de fisioterapia: tendencia por curso y género. Declinación empática. Fisioterapia [Internet]. Elsevier BV; 2019 Sep;41(5):250–7. Available from: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http://dx.doi.org/10.1016/j.ft.2019.05.004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18161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1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  <w:t xml:space="preserve">8. Describa e interprete, en sus propias palabras, el siguiente gráfico del artículo Pastén-Hidalgo WF, van Niekerk-Bakit NA, Calzadilla-Núñez A, Aguilera-Olivares F, Díaz-Narváez VP. Empatía en estudiantes de fisioterapia: tendencia por curso y género. Declinación empática. Fisioterapia [Internet]. Elsevier BV; 2019 Sep;41(5):250–7. Available from: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http://dx.doi.org/10.1016/j.ft.2019.05.004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  <w:t xml:space="preserve">9. Clasifique al menos 5 variables del artículo Pastén-Hidalgo WF, van Niekerk-Bakit NA, Calzadilla-Núñez A, Aguilera-Olivares F, Díaz-Narváez VP. Empatía en estudiantes de fisioterapia: tendencia por curso y género. Declinación empática. Fisioterapia [Internet]. Elsevier BV; 2019 Sep;41(5):250–7. Available from: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http://dx.doi.org/10.1016/j.ft.2019.05.004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5.51181102362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.6433173126087"/>
        <w:gridCol w:w="4336.934246855507"/>
        <w:gridCol w:w="4336.934246855507"/>
        <w:tblGridChange w:id="0">
          <w:tblGrid>
            <w:gridCol w:w="351.6433173126087"/>
            <w:gridCol w:w="4336.934246855507"/>
            <w:gridCol w:w="4336.934246855507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variable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variable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6834" w:w="11909" w:orient="portrait"/>
      <w:pgMar w:bottom="1440" w:top="1440" w:left="1559.055118110236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jc w:val="right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jc w:val="right"/>
      <w:rPr>
        <w:b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Klgo. Alvaro Besoaín Saldaña y Klga. Daniela Sandoval Huenchual.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  <w:t xml:space="preserve">Lectura Comprensiva de Artículos Científicos</w:t>
    </w:r>
  </w:p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  <w:t xml:space="preserve">Escuela de Kinesiología</w:t>
    </w:r>
  </w:p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  <w:t xml:space="preserve">Universidad de Chile</w:t>
    </w:r>
  </w:p>
  <w:p w:rsidR="00000000" w:rsidDel="00000000" w:rsidP="00000000" w:rsidRDefault="00000000" w:rsidRPr="00000000" w14:paraId="000000A6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doi.org/10.1016/j.rh.2020.07.004" TargetMode="External"/><Relationship Id="rId10" Type="http://schemas.openxmlformats.org/officeDocument/2006/relationships/image" Target="media/image3.png"/><Relationship Id="rId13" Type="http://schemas.openxmlformats.org/officeDocument/2006/relationships/hyperlink" Target="https://doi.org/10.1016/j.rh.2020.07.004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rh.2020.07.004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://dx.doi.org/10.1016/j.ft.2019.05.004" TargetMode="External"/><Relationship Id="rId17" Type="http://schemas.openxmlformats.org/officeDocument/2006/relationships/image" Target="media/image4.png"/><Relationship Id="rId16" Type="http://schemas.openxmlformats.org/officeDocument/2006/relationships/hyperlink" Target="http://dx.doi.org/10.1016/j.ft.2019.05.004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s://docs.google.com/drawings/d/1YTP55A-jvUGN4BLpDkp9165QFWDeqvrnWOWu4nzDsYg/edit" TargetMode="External"/><Relationship Id="rId18" Type="http://schemas.openxmlformats.org/officeDocument/2006/relationships/hyperlink" Target="http://dx.doi.org/10.1016/j.ft.2019.05.004" TargetMode="External"/><Relationship Id="rId7" Type="http://schemas.openxmlformats.org/officeDocument/2006/relationships/hyperlink" Target="https://cmap.ihmc.us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