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MiloPro-Bold" w:hAnsi="MiloPro-Bold" w:cs="MiloPro-Bold"/>
          <w:b/>
          <w:bCs/>
          <w:kern w:val="0"/>
          <w:sz w:val="24"/>
          <w:szCs w:val="24"/>
        </w:rPr>
      </w:pPr>
      <w:r>
        <w:rPr>
          <w:rFonts w:ascii="MiloPro-Bold" w:hAnsi="MiloPro-Bold" w:cs="MiloPro-Bold"/>
          <w:b/>
          <w:bCs/>
          <w:kern w:val="0"/>
          <w:sz w:val="24"/>
          <w:szCs w:val="24"/>
        </w:rPr>
        <w:t>Una mujer en combate</w:t>
      </w:r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jc w:val="both"/>
        <w:rPr>
          <w:rFonts w:ascii="MiloPro" w:hAnsi="MiloPro" w:cs="MiloPro"/>
          <w:kern w:val="0"/>
          <w:sz w:val="20"/>
          <w:szCs w:val="20"/>
        </w:rPr>
      </w:pPr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jc w:val="both"/>
        <w:rPr>
          <w:rFonts w:ascii="MiloPro" w:hAnsi="MiloPro" w:cs="MiloPro"/>
          <w:kern w:val="0"/>
          <w:sz w:val="20"/>
          <w:szCs w:val="20"/>
        </w:rPr>
      </w:pPr>
      <w:r>
        <w:rPr>
          <w:rFonts w:ascii="MiloPro" w:hAnsi="MiloPro" w:cs="MiloPro"/>
          <w:kern w:val="0"/>
          <w:sz w:val="20"/>
          <w:szCs w:val="20"/>
        </w:rPr>
        <w:t>“Una noche, en la zona de nuestro regimiento,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una unidad de infantería entró en combate de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reconocimiento. Hacia la madrugada, la unidad se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retiró, y de la zona neutra nos llegaban gemidos. Un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herido se había quedado allí. ‘No vayas, te matarán’.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No les hice caso y fui a buscarlo a rastras. Encontré al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herido, le até un cinturón al brazo y lo arrastré durante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ocho horas. Conseguí traerlo con vida. El comandante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se enteró y en un arrebato me castigó con cinco días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de arresto. El subcomandante del regimiento reaccionó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de otra manera: ‘Merece una condecoración’. Con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diecinueve años me entregaron la Medalla al Valor. Con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diecinueve se me quedó el pelo blanco. Con diecinueve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años, en el último combate, una bala me atravesó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ambos pulmones, y otra bala me pasó entre dos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vértebras. Me paralizó las piernas… Y me consideraron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muerta…Con diecinueve años… Los mismos que acaba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de cumplir mi nieta. La miro y no me lo creo. ¡Es una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cría! Cuando volví a casa, mi hermana me enseñó el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aviso de mi muerte… Hasta me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habían enterrado”.</w:t>
      </w:r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MiloPro" w:hAnsi="MiloPro" w:cs="MiloPro"/>
          <w:kern w:val="0"/>
          <w:sz w:val="16"/>
          <w:szCs w:val="16"/>
        </w:rPr>
      </w:pP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jc w:val="right"/>
        <w:rPr>
          <w:rFonts w:ascii="MiloPro" w:hAnsi="MiloPro" w:cs="MiloPro"/>
          <w:b/>
          <w:bCs/>
          <w:kern w:val="0"/>
          <w:sz w:val="18"/>
          <w:szCs w:val="18"/>
        </w:rPr>
      </w:pPr>
      <w:r w:rsidRPr="007D7062">
        <w:rPr>
          <w:rFonts w:ascii="MiloPro" w:hAnsi="MiloPro" w:cs="MiloPro"/>
          <w:b/>
          <w:bCs/>
          <w:kern w:val="0"/>
          <w:sz w:val="18"/>
          <w:szCs w:val="18"/>
        </w:rPr>
        <w:t xml:space="preserve">Testimonio extraído de </w:t>
      </w:r>
      <w:proofErr w:type="spellStart"/>
      <w:r w:rsidRPr="007D7062">
        <w:rPr>
          <w:rFonts w:ascii="MiloPro" w:hAnsi="MiloPro" w:cs="MiloPro"/>
          <w:b/>
          <w:bCs/>
          <w:kern w:val="0"/>
          <w:sz w:val="18"/>
          <w:szCs w:val="18"/>
        </w:rPr>
        <w:t>Alieksiévich</w:t>
      </w:r>
      <w:proofErr w:type="spellEnd"/>
      <w:r w:rsidRPr="007D7062">
        <w:rPr>
          <w:rFonts w:ascii="MiloPro" w:hAnsi="MiloPro" w:cs="MiloPro"/>
          <w:b/>
          <w:bCs/>
          <w:kern w:val="0"/>
          <w:sz w:val="18"/>
          <w:szCs w:val="18"/>
        </w:rPr>
        <w:t>, Svetlana (1985).</w:t>
      </w:r>
    </w:p>
    <w:p w:rsidR="00CE72BA" w:rsidRDefault="007D7062" w:rsidP="007D7062">
      <w:pPr>
        <w:jc w:val="right"/>
        <w:rPr>
          <w:rFonts w:ascii="MiloPro" w:hAnsi="MiloPro" w:cs="MiloPro"/>
          <w:b/>
          <w:bCs/>
          <w:kern w:val="0"/>
          <w:sz w:val="18"/>
          <w:szCs w:val="18"/>
        </w:rPr>
      </w:pPr>
      <w:r w:rsidRPr="007D7062">
        <w:rPr>
          <w:rFonts w:ascii="MiloPro-Ita" w:hAnsi="MiloPro-Ita" w:cs="MiloPro-Ita"/>
          <w:b/>
          <w:bCs/>
          <w:i/>
          <w:iCs/>
          <w:kern w:val="0"/>
          <w:sz w:val="18"/>
          <w:szCs w:val="18"/>
        </w:rPr>
        <w:t>La guerra no tiene rostro de mujer</w:t>
      </w:r>
      <w:r w:rsidRPr="007D7062">
        <w:rPr>
          <w:rFonts w:ascii="MiloPro" w:hAnsi="MiloPro" w:cs="MiloPro"/>
          <w:b/>
          <w:bCs/>
          <w:kern w:val="0"/>
          <w:sz w:val="18"/>
          <w:szCs w:val="18"/>
        </w:rPr>
        <w:t>.</w:t>
      </w:r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MiloPro-Bold" w:hAnsi="MiloPro-Bold" w:cs="MiloPro-Bold"/>
          <w:b/>
          <w:bCs/>
          <w:kern w:val="0"/>
          <w:sz w:val="24"/>
          <w:szCs w:val="24"/>
        </w:rPr>
      </w:pPr>
      <w:r>
        <w:rPr>
          <w:rFonts w:ascii="MiloPro-Bold" w:hAnsi="MiloPro-Bold" w:cs="MiloPro-Bold"/>
          <w:b/>
          <w:bCs/>
          <w:kern w:val="0"/>
          <w:sz w:val="24"/>
          <w:szCs w:val="24"/>
        </w:rPr>
        <w:t>Yo vi a los “muertos vivientes”</w:t>
      </w:r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jc w:val="both"/>
        <w:rPr>
          <w:rFonts w:ascii="MiloPro" w:hAnsi="MiloPro" w:cs="MiloPro"/>
          <w:kern w:val="0"/>
          <w:sz w:val="20"/>
          <w:szCs w:val="20"/>
        </w:rPr>
      </w:pPr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jc w:val="both"/>
        <w:rPr>
          <w:rFonts w:ascii="MiloPro" w:hAnsi="MiloPro" w:cs="MiloPro"/>
          <w:kern w:val="0"/>
          <w:sz w:val="20"/>
          <w:szCs w:val="20"/>
        </w:rPr>
      </w:pPr>
      <w:r>
        <w:rPr>
          <w:rFonts w:ascii="MiloPro" w:hAnsi="MiloPro" w:cs="MiloPro"/>
          <w:kern w:val="0"/>
          <w:sz w:val="20"/>
          <w:szCs w:val="20"/>
        </w:rPr>
        <w:t>“Dios mío, ¿qué es esto? ¡Este es algún tipo de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locura! ¿Quiénes son estas gentes? ¿Qué fue lo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que hicieron que estuvo tan mal? Y entonces supe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que se trataba de judíos y gitanos, algunos eran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testigos de Jehová, había sindicalistas, comunistas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y homosexuales. Había tantos grupos encerrados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ahí por los nazis. ¿Y cuál era la vara con la que los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nazis determinaban quién era llevado ahí? Los nazis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decían que la gente que no era lo suficientemente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buena, aquellos que eran inferiores, esos podían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ser segregados. Así es que, ¿te das cuenta de lo que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quiero decir? La segregación, la discriminación, el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racismo pueden conducir hasta lo más extremo,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a lo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 xml:space="preserve">que vi en </w:t>
      </w:r>
      <w:proofErr w:type="spellStart"/>
      <w:r>
        <w:rPr>
          <w:rFonts w:ascii="MiloPro" w:hAnsi="MiloPro" w:cs="MiloPro"/>
          <w:kern w:val="0"/>
          <w:sz w:val="20"/>
          <w:szCs w:val="20"/>
        </w:rPr>
        <w:t>Buchenwald</w:t>
      </w:r>
      <w:proofErr w:type="spellEnd"/>
      <w:r>
        <w:rPr>
          <w:rFonts w:ascii="MiloPro" w:hAnsi="MiloPro" w:cs="MiloPro"/>
          <w:kern w:val="0"/>
          <w:sz w:val="20"/>
          <w:szCs w:val="20"/>
        </w:rPr>
        <w:t>”.</w:t>
      </w: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jc w:val="right"/>
        <w:rPr>
          <w:rFonts w:ascii="MiloPro" w:hAnsi="MiloPro" w:cs="MiloPro"/>
          <w:b/>
          <w:bCs/>
          <w:kern w:val="0"/>
          <w:sz w:val="18"/>
          <w:szCs w:val="18"/>
        </w:rPr>
      </w:pPr>
      <w:r w:rsidRPr="007D7062">
        <w:rPr>
          <w:rFonts w:ascii="MiloPro" w:hAnsi="MiloPro" w:cs="MiloPro"/>
          <w:b/>
          <w:bCs/>
          <w:kern w:val="0"/>
          <w:sz w:val="18"/>
          <w:szCs w:val="18"/>
        </w:rPr>
        <w:t xml:space="preserve">Sargento </w:t>
      </w:r>
      <w:proofErr w:type="spellStart"/>
      <w:r w:rsidRPr="007D7062">
        <w:rPr>
          <w:rFonts w:ascii="MiloPro" w:hAnsi="MiloPro" w:cs="MiloPro"/>
          <w:b/>
          <w:bCs/>
          <w:kern w:val="0"/>
          <w:sz w:val="18"/>
          <w:szCs w:val="18"/>
        </w:rPr>
        <w:t>Leon</w:t>
      </w:r>
      <w:proofErr w:type="spellEnd"/>
      <w:r w:rsidRPr="007D7062">
        <w:rPr>
          <w:rFonts w:ascii="MiloPro" w:hAnsi="MiloPro" w:cs="MiloPro"/>
          <w:b/>
          <w:bCs/>
          <w:kern w:val="0"/>
          <w:sz w:val="18"/>
          <w:szCs w:val="18"/>
        </w:rPr>
        <w:t xml:space="preserve"> Bass. </w:t>
      </w:r>
      <w:r w:rsidRPr="007D7062">
        <w:rPr>
          <w:rFonts w:ascii="MiloPro-Ita" w:hAnsi="MiloPro-Ita" w:cs="MiloPro-Ita"/>
          <w:b/>
          <w:bCs/>
          <w:i/>
          <w:iCs/>
          <w:kern w:val="0"/>
          <w:sz w:val="18"/>
          <w:szCs w:val="18"/>
        </w:rPr>
        <w:t xml:space="preserve">I </w:t>
      </w:r>
      <w:proofErr w:type="spellStart"/>
      <w:r w:rsidRPr="007D7062">
        <w:rPr>
          <w:rFonts w:ascii="MiloPro-Ita" w:hAnsi="MiloPro-Ita" w:cs="MiloPro-Ita"/>
          <w:b/>
          <w:bCs/>
          <w:i/>
          <w:iCs/>
          <w:kern w:val="0"/>
          <w:sz w:val="18"/>
          <w:szCs w:val="18"/>
        </w:rPr>
        <w:t>saw</w:t>
      </w:r>
      <w:proofErr w:type="spellEnd"/>
      <w:r w:rsidRPr="007D7062">
        <w:rPr>
          <w:rFonts w:ascii="MiloPro-Ita" w:hAnsi="MiloPro-Ita" w:cs="MiloPro-Ita"/>
          <w:b/>
          <w:bCs/>
          <w:i/>
          <w:iCs/>
          <w:kern w:val="0"/>
          <w:sz w:val="18"/>
          <w:szCs w:val="18"/>
        </w:rPr>
        <w:t xml:space="preserve"> </w:t>
      </w:r>
      <w:proofErr w:type="spellStart"/>
      <w:r w:rsidRPr="007D7062">
        <w:rPr>
          <w:rFonts w:ascii="MiloPro-Ita" w:hAnsi="MiloPro-Ita" w:cs="MiloPro-Ita"/>
          <w:b/>
          <w:bCs/>
          <w:i/>
          <w:iCs/>
          <w:kern w:val="0"/>
          <w:sz w:val="18"/>
          <w:szCs w:val="18"/>
        </w:rPr>
        <w:t>the</w:t>
      </w:r>
      <w:proofErr w:type="spellEnd"/>
      <w:r w:rsidRPr="007D7062">
        <w:rPr>
          <w:rFonts w:ascii="MiloPro-Ita" w:hAnsi="MiloPro-Ita" w:cs="MiloPro-Ita"/>
          <w:b/>
          <w:bCs/>
          <w:i/>
          <w:iCs/>
          <w:kern w:val="0"/>
          <w:sz w:val="18"/>
          <w:szCs w:val="18"/>
        </w:rPr>
        <w:t xml:space="preserve"> </w:t>
      </w:r>
      <w:proofErr w:type="spellStart"/>
      <w:r w:rsidRPr="007D7062">
        <w:rPr>
          <w:rFonts w:ascii="MiloPro-Ita" w:hAnsi="MiloPro-Ita" w:cs="MiloPro-Ita"/>
          <w:b/>
          <w:bCs/>
          <w:i/>
          <w:iCs/>
          <w:kern w:val="0"/>
          <w:sz w:val="18"/>
          <w:szCs w:val="18"/>
        </w:rPr>
        <w:t>walking</w:t>
      </w:r>
      <w:proofErr w:type="spellEnd"/>
      <w:r w:rsidRPr="007D7062">
        <w:rPr>
          <w:rFonts w:ascii="MiloPro-Ita" w:hAnsi="MiloPro-Ita" w:cs="MiloPro-Ita"/>
          <w:b/>
          <w:bCs/>
          <w:i/>
          <w:iCs/>
          <w:kern w:val="0"/>
          <w:sz w:val="18"/>
          <w:szCs w:val="18"/>
        </w:rPr>
        <w:t xml:space="preserve"> </w:t>
      </w:r>
      <w:proofErr w:type="spellStart"/>
      <w:r w:rsidRPr="007D7062">
        <w:rPr>
          <w:rFonts w:ascii="MiloPro-Ita" w:hAnsi="MiloPro-Ita" w:cs="MiloPro-Ita"/>
          <w:b/>
          <w:bCs/>
          <w:i/>
          <w:iCs/>
          <w:kern w:val="0"/>
          <w:sz w:val="18"/>
          <w:szCs w:val="18"/>
        </w:rPr>
        <w:t>dead</w:t>
      </w:r>
      <w:proofErr w:type="spellEnd"/>
      <w:r w:rsidRPr="007D7062">
        <w:rPr>
          <w:rFonts w:ascii="MiloPro" w:hAnsi="MiloPro" w:cs="MiloPro"/>
          <w:b/>
          <w:bCs/>
          <w:kern w:val="0"/>
          <w:sz w:val="18"/>
          <w:szCs w:val="18"/>
        </w:rPr>
        <w:t>.</w:t>
      </w:r>
    </w:p>
    <w:p w:rsidR="007D7062" w:rsidRDefault="007D7062" w:rsidP="007D7062">
      <w:pPr>
        <w:jc w:val="right"/>
        <w:rPr>
          <w:rFonts w:ascii="MiloPro" w:hAnsi="MiloPro" w:cs="MiloPro"/>
          <w:b/>
          <w:bCs/>
          <w:kern w:val="0"/>
          <w:sz w:val="18"/>
          <w:szCs w:val="18"/>
        </w:rPr>
      </w:pPr>
      <w:r w:rsidRPr="007D7062">
        <w:rPr>
          <w:rFonts w:ascii="MiloPro" w:hAnsi="MiloPro" w:cs="MiloPro"/>
          <w:b/>
          <w:bCs/>
          <w:kern w:val="0"/>
          <w:sz w:val="18"/>
          <w:szCs w:val="18"/>
        </w:rPr>
        <w:t xml:space="preserve">Recuperado de </w:t>
      </w:r>
      <w:hyperlink r:id="rId4" w:history="1">
        <w:r w:rsidRPr="006961EB">
          <w:rPr>
            <w:rStyle w:val="Hipervnculo"/>
            <w:rFonts w:ascii="MiloPro" w:hAnsi="MiloPro" w:cs="MiloPro"/>
            <w:b/>
            <w:bCs/>
            <w:kern w:val="0"/>
            <w:sz w:val="18"/>
            <w:szCs w:val="18"/>
          </w:rPr>
          <w:t>www.historymatters.gmu.edu</w:t>
        </w:r>
      </w:hyperlink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MiloPro-Bold" w:hAnsi="MiloPro-Bold" w:cs="MiloPro-Bold"/>
          <w:b/>
          <w:bCs/>
          <w:kern w:val="0"/>
          <w:sz w:val="24"/>
          <w:szCs w:val="24"/>
        </w:rPr>
      </w:pPr>
      <w:r>
        <w:rPr>
          <w:rFonts w:ascii="MiloPro-Bold" w:hAnsi="MiloPro-Bold" w:cs="MiloPro-Bold"/>
          <w:b/>
          <w:bCs/>
          <w:kern w:val="0"/>
          <w:sz w:val="24"/>
          <w:szCs w:val="24"/>
        </w:rPr>
        <w:t>Una niña escondida de los nazis</w:t>
      </w:r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MiloPro" w:hAnsi="MiloPro" w:cs="MiloPro"/>
          <w:kern w:val="0"/>
          <w:sz w:val="20"/>
          <w:szCs w:val="20"/>
        </w:rPr>
      </w:pPr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MiloPro" w:hAnsi="MiloPro" w:cs="MiloPro"/>
          <w:kern w:val="0"/>
          <w:sz w:val="20"/>
          <w:szCs w:val="20"/>
        </w:rPr>
      </w:pPr>
      <w:r>
        <w:rPr>
          <w:rFonts w:ascii="MiloPro" w:hAnsi="MiloPro" w:cs="MiloPro"/>
          <w:kern w:val="0"/>
          <w:sz w:val="20"/>
          <w:szCs w:val="20"/>
        </w:rPr>
        <w:t>“Querida Kitty: Todos los días ocurre algo. Esta mañana,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nuestro proveedor de hortalizas ha sido arrestado:</w:t>
      </w:r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MiloPro" w:hAnsi="MiloPro" w:cs="MiloPro"/>
          <w:kern w:val="0"/>
          <w:sz w:val="20"/>
          <w:szCs w:val="20"/>
        </w:rPr>
      </w:pPr>
      <w:r>
        <w:rPr>
          <w:rFonts w:ascii="MiloPro" w:hAnsi="MiloPro" w:cs="MiloPro"/>
          <w:kern w:val="0"/>
          <w:sz w:val="20"/>
          <w:szCs w:val="20"/>
        </w:rPr>
        <w:t>tenía dos judíos en su casa. Es un golpe terrible para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nosotros, no sólo porque dos pobres judíos más se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hallen al borde del abismo, sino porque el proveedor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se encuentra también en el mismo trance. El mundo</w:t>
      </w:r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MiloPro" w:hAnsi="MiloPro" w:cs="MiloPro"/>
          <w:kern w:val="0"/>
          <w:sz w:val="20"/>
          <w:szCs w:val="20"/>
        </w:rPr>
      </w:pPr>
      <w:r>
        <w:rPr>
          <w:rFonts w:ascii="MiloPro" w:hAnsi="MiloPro" w:cs="MiloPro"/>
          <w:kern w:val="0"/>
          <w:sz w:val="20"/>
          <w:szCs w:val="20"/>
        </w:rPr>
        <w:t>está trastornado; las personas decentes son enviadas a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los campos de concentración, a las prisiones, o todavía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tiemblan en las células solitarias, en tanto que la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gentuza que se queda aquí gobierna a jóvenes y viejos,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a ricos y pobres. Uno se deja atrapar por el mercado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negro, otro por haber albergado a judíos o a rebeldes;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quienes no están en contacto con los nazis no pueden</w:t>
      </w:r>
      <w:r>
        <w:rPr>
          <w:rFonts w:ascii="MiloPro" w:hAnsi="MiloPro" w:cs="MiloPro"/>
          <w:kern w:val="0"/>
          <w:sz w:val="20"/>
          <w:szCs w:val="20"/>
        </w:rPr>
        <w:t xml:space="preserve"> </w:t>
      </w:r>
      <w:r>
        <w:rPr>
          <w:rFonts w:ascii="MiloPro" w:hAnsi="MiloPro" w:cs="MiloPro"/>
          <w:kern w:val="0"/>
          <w:sz w:val="20"/>
          <w:szCs w:val="20"/>
        </w:rPr>
        <w:t>saber lo que pasará mañana”.</w:t>
      </w:r>
    </w:p>
    <w:p w:rsid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MiloPro" w:hAnsi="MiloPro" w:cs="MiloPro"/>
          <w:kern w:val="0"/>
          <w:sz w:val="16"/>
          <w:szCs w:val="16"/>
        </w:rPr>
      </w:pP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jc w:val="right"/>
        <w:rPr>
          <w:rFonts w:ascii="MiloPro" w:hAnsi="MiloPro" w:cs="MiloPro"/>
          <w:b/>
          <w:bCs/>
          <w:kern w:val="0"/>
          <w:sz w:val="18"/>
          <w:szCs w:val="18"/>
        </w:rPr>
      </w:pPr>
      <w:r w:rsidRPr="007D7062">
        <w:rPr>
          <w:rFonts w:ascii="MiloPro" w:hAnsi="MiloPro" w:cs="MiloPro"/>
          <w:b/>
          <w:bCs/>
          <w:kern w:val="0"/>
          <w:sz w:val="18"/>
          <w:szCs w:val="18"/>
        </w:rPr>
        <w:t>Frank, Anna (25 de mayo de 1944), en</w:t>
      </w:r>
    </w:p>
    <w:p w:rsidR="007D7062" w:rsidRDefault="007D7062" w:rsidP="007D7062">
      <w:pPr>
        <w:jc w:val="right"/>
        <w:rPr>
          <w:rFonts w:ascii="MiloPro" w:hAnsi="MiloPro" w:cs="MiloPro"/>
          <w:b/>
          <w:bCs/>
          <w:kern w:val="0"/>
          <w:sz w:val="18"/>
          <w:szCs w:val="18"/>
        </w:rPr>
      </w:pPr>
      <w:r w:rsidRPr="007D7062">
        <w:rPr>
          <w:rFonts w:ascii="MiloPro-Ita" w:hAnsi="MiloPro-Ita" w:cs="MiloPro-Ita"/>
          <w:b/>
          <w:bCs/>
          <w:i/>
          <w:iCs/>
          <w:kern w:val="0"/>
          <w:sz w:val="18"/>
          <w:szCs w:val="18"/>
        </w:rPr>
        <w:t xml:space="preserve">El diario de Ana Frank </w:t>
      </w:r>
      <w:r w:rsidRPr="007D7062">
        <w:rPr>
          <w:rFonts w:ascii="MiloPro" w:hAnsi="MiloPro" w:cs="MiloPro"/>
          <w:b/>
          <w:bCs/>
          <w:kern w:val="0"/>
          <w:sz w:val="18"/>
          <w:szCs w:val="18"/>
        </w:rPr>
        <w:t>(2001).</w:t>
      </w:r>
    </w:p>
    <w:p w:rsidR="007D7062" w:rsidRPr="007D7062" w:rsidRDefault="007D7062" w:rsidP="007D7062">
      <w:pPr>
        <w:jc w:val="both"/>
        <w:rPr>
          <w:rFonts w:ascii="MiloPro" w:hAnsi="MiloPro" w:cs="MiloPro"/>
          <w:b/>
          <w:bCs/>
          <w:kern w:val="0"/>
        </w:rPr>
      </w:pPr>
      <w:r>
        <w:rPr>
          <w:rFonts w:ascii="MiloPro" w:hAnsi="MiloPro" w:cs="MiloPro"/>
          <w:b/>
          <w:bCs/>
          <w:kern w:val="0"/>
        </w:rPr>
        <w:t>Reunidos en grupos de tres, respondan:</w:t>
      </w: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SeroPro-Light" w:hAnsi="SeroPro-Light" w:cs="SeroPro-Light"/>
          <w:b/>
          <w:bCs/>
          <w:color w:val="3A393A"/>
          <w:kern w:val="0"/>
        </w:rPr>
      </w:pP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1.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¿De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qué trata? ¿Qué sensaciones transmite?</w:t>
      </w: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SeroPro-Light" w:hAnsi="SeroPro-Light" w:cs="SeroPro-Light"/>
          <w:b/>
          <w:bCs/>
          <w:color w:val="3A393A"/>
          <w:kern w:val="0"/>
        </w:rPr>
      </w:pP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SeroPro-Light" w:hAnsi="SeroPro-Light" w:cs="SeroPro-Light"/>
          <w:b/>
          <w:bCs/>
          <w:color w:val="3A393A"/>
          <w:kern w:val="0"/>
        </w:rPr>
      </w:pP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2.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¿Con qué aspectos del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desarrollo del conflicto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se relacionan? ¿Por qué?</w:t>
      </w: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SeroPro-Light" w:hAnsi="SeroPro-Light" w:cs="SeroPro-Light"/>
          <w:b/>
          <w:bCs/>
          <w:color w:val="3A393A"/>
          <w:kern w:val="0"/>
        </w:rPr>
      </w:pP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SeroPro-Light" w:hAnsi="SeroPro-Light" w:cs="SeroPro-Light"/>
          <w:b/>
          <w:bCs/>
          <w:color w:val="3A393A"/>
          <w:kern w:val="0"/>
        </w:rPr>
      </w:pP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3.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Escríbele una breve carta al autor o autora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del testimonio que revisaste contándole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cómo te hizo sentir su relato.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SeroPro-Light" w:hAnsi="SeroPro-Light" w:cs="SeroPro-Light"/>
          <w:b/>
          <w:bCs/>
          <w:color w:val="3A393A"/>
          <w:kern w:val="0"/>
        </w:rPr>
      </w:pP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rPr>
          <w:rFonts w:ascii="SeroPro-Light" w:hAnsi="SeroPro-Light" w:cs="SeroPro-Light"/>
          <w:b/>
          <w:bCs/>
          <w:color w:val="3A393A"/>
          <w:kern w:val="0"/>
        </w:rPr>
      </w:pP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4.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Comenten como curso la siguiente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afirmación: </w:t>
      </w: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jc w:val="both"/>
        <w:rPr>
          <w:rFonts w:ascii="SeroPro-Light" w:hAnsi="SeroPro-Light" w:cs="SeroPro-Light"/>
          <w:b/>
          <w:bCs/>
          <w:color w:val="3A393A"/>
          <w:kern w:val="0"/>
        </w:rPr>
      </w:pPr>
      <w:r w:rsidRPr="007D7062">
        <w:rPr>
          <w:rFonts w:ascii="SeroPro-Light" w:hAnsi="SeroPro-Light" w:cs="SeroPro-Light"/>
          <w:b/>
          <w:bCs/>
          <w:color w:val="3A393A"/>
          <w:kern w:val="0"/>
        </w:rPr>
        <w:t>“La segregación, la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discriminación, el racismo pueden conducir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hasta lo más extremo”. </w:t>
      </w:r>
    </w:p>
    <w:p w:rsidR="007D7062" w:rsidRPr="007D7062" w:rsidRDefault="007D7062" w:rsidP="007D7062">
      <w:pPr>
        <w:autoSpaceDE w:val="0"/>
        <w:autoSpaceDN w:val="0"/>
        <w:adjustRightInd w:val="0"/>
        <w:spacing w:after="0" w:line="240" w:lineRule="auto"/>
        <w:jc w:val="both"/>
        <w:rPr>
          <w:rFonts w:ascii="SeroPro-Light" w:hAnsi="SeroPro-Light" w:cs="SeroPro-Light"/>
          <w:b/>
          <w:bCs/>
          <w:color w:val="3A393A"/>
          <w:kern w:val="0"/>
        </w:rPr>
      </w:pPr>
      <w:r w:rsidRPr="007D7062">
        <w:rPr>
          <w:rFonts w:ascii="SeroPro-Light" w:hAnsi="SeroPro-Light" w:cs="SeroPro-Light"/>
          <w:b/>
          <w:bCs/>
          <w:color w:val="3A393A"/>
          <w:kern w:val="0"/>
        </w:rPr>
        <w:lastRenderedPageBreak/>
        <w:t>Luego, señalen: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¿Qué formas de discriminación existen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actualmente que pueden poner en riesgo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nuestra democracia? ¿Qué compromisos se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 xml:space="preserve"> </w:t>
      </w:r>
      <w:r w:rsidRPr="007D7062">
        <w:rPr>
          <w:rFonts w:ascii="SeroPro-Light" w:hAnsi="SeroPro-Light" w:cs="SeroPro-Light"/>
          <w:b/>
          <w:bCs/>
          <w:color w:val="3A393A"/>
          <w:kern w:val="0"/>
        </w:rPr>
        <w:t>pueden asumir ante ello?</w:t>
      </w:r>
    </w:p>
    <w:sectPr w:rsidR="007D7062" w:rsidRPr="007D70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lo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lo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loPro-I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ro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62"/>
    <w:rsid w:val="00521101"/>
    <w:rsid w:val="007D7062"/>
    <w:rsid w:val="00B55EBB"/>
    <w:rsid w:val="00C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AC04"/>
  <w15:chartTrackingRefBased/>
  <w15:docId w15:val="{8E0A4298-95B2-4F56-AC13-0838DB7C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70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istorymatters.gmu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</dc:creator>
  <cp:keywords/>
  <dc:description/>
  <cp:lastModifiedBy>Joaquín</cp:lastModifiedBy>
  <cp:revision>1</cp:revision>
  <dcterms:created xsi:type="dcterms:W3CDTF">2023-09-07T16:34:00Z</dcterms:created>
  <dcterms:modified xsi:type="dcterms:W3CDTF">2023-09-07T16:47:00Z</dcterms:modified>
</cp:coreProperties>
</file>