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A54312" w14:textId="77777777" w:rsidR="00510791" w:rsidRPr="00810F85" w:rsidRDefault="00510791" w:rsidP="006E21FE">
      <w:pPr>
        <w:keepNext/>
        <w:keepLines/>
        <w:widowControl w:val="0"/>
        <w:spacing w:before="200" w:line="240" w:lineRule="auto"/>
        <w:jc w:val="center"/>
        <w:rPr>
          <w:rFonts w:eastAsia="Calibri"/>
          <w:b/>
        </w:rPr>
      </w:pPr>
    </w:p>
    <w:p w14:paraId="3A0AC302" w14:textId="77777777" w:rsidR="00510791" w:rsidRPr="00810F85" w:rsidRDefault="00510791" w:rsidP="006E21FE">
      <w:pPr>
        <w:pStyle w:val="Default"/>
        <w:rPr>
          <w:rFonts w:ascii="Arial" w:hAnsi="Arial" w:cs="Arial"/>
          <w:b/>
          <w:sz w:val="22"/>
          <w:szCs w:val="22"/>
        </w:rPr>
      </w:pPr>
      <w:r w:rsidRPr="00810F85">
        <w:rPr>
          <w:rFonts w:ascii="Arial" w:hAnsi="Arial" w:cs="Arial"/>
          <w:b/>
          <w:sz w:val="22"/>
          <w:szCs w:val="22"/>
        </w:rPr>
        <w:t>UNIVERSIDAD DE CHILE</w:t>
      </w:r>
    </w:p>
    <w:p w14:paraId="49E809C7" w14:textId="77777777" w:rsidR="001F6E10" w:rsidRPr="00810F85" w:rsidRDefault="00510791" w:rsidP="006E21FE">
      <w:pPr>
        <w:pStyle w:val="Default"/>
        <w:rPr>
          <w:rFonts w:ascii="Arial" w:hAnsi="Arial" w:cs="Arial"/>
          <w:bCs w:val="0"/>
          <w:sz w:val="22"/>
          <w:szCs w:val="22"/>
        </w:rPr>
      </w:pPr>
      <w:r w:rsidRPr="00810F85">
        <w:rPr>
          <w:rFonts w:ascii="Arial" w:hAnsi="Arial" w:cs="Arial"/>
          <w:b/>
          <w:sz w:val="22"/>
          <w:szCs w:val="22"/>
        </w:rPr>
        <w:t>FACULTAD DE CIENCIAS FÍSICAS Y MATEMÁTICAS</w:t>
      </w:r>
      <w:permStart w:id="114106786" w:edGrp="everyone"/>
    </w:p>
    <w:p w14:paraId="65CC0044" w14:textId="77777777" w:rsidR="00510791" w:rsidRPr="00810F85" w:rsidRDefault="00510791" w:rsidP="006E21FE">
      <w:pPr>
        <w:pStyle w:val="Default"/>
        <w:rPr>
          <w:rFonts w:ascii="Arial" w:hAnsi="Arial" w:cs="Arial"/>
          <w:bCs w:val="0"/>
          <w:sz w:val="22"/>
          <w:szCs w:val="22"/>
        </w:rPr>
      </w:pPr>
      <w:r w:rsidRPr="00810F85">
        <w:rPr>
          <w:rFonts w:ascii="Arial" w:hAnsi="Arial" w:cs="Arial"/>
          <w:b/>
          <w:noProof/>
          <w:sz w:val="22"/>
          <w:szCs w:val="22"/>
          <w:lang w:val="es-ES" w:eastAsia="es-ES"/>
        </w:rPr>
        <w:drawing>
          <wp:anchor distT="0" distB="0" distL="114300" distR="114300" simplePos="0" relativeHeight="251658240" behindDoc="0" locked="0" layoutInCell="1" allowOverlap="1" wp14:anchorId="7201C93E" wp14:editId="499233C7">
            <wp:simplePos x="0" y="0"/>
            <wp:positionH relativeFrom="column">
              <wp:posOffset>156210</wp:posOffset>
            </wp:positionH>
            <wp:positionV relativeFrom="paragraph">
              <wp:posOffset>-501650</wp:posOffset>
            </wp:positionV>
            <wp:extent cx="388620" cy="815340"/>
            <wp:effectExtent l="0" t="0" r="0" b="381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8620" cy="815340"/>
                    </a:xfrm>
                    <a:prstGeom prst="rect">
                      <a:avLst/>
                    </a:prstGeom>
                    <a:noFill/>
                    <a:ln>
                      <a:noFill/>
                    </a:ln>
                  </pic:spPr>
                </pic:pic>
              </a:graphicData>
            </a:graphic>
          </wp:anchor>
        </w:drawing>
      </w:r>
      <w:permEnd w:id="114106786"/>
      <w:r w:rsidRPr="00810F85">
        <w:rPr>
          <w:rFonts w:ascii="Arial" w:hAnsi="Arial" w:cs="Arial"/>
          <w:b/>
          <w:sz w:val="22"/>
          <w:szCs w:val="22"/>
        </w:rPr>
        <w:t>DEPARTAMENTO DE INGENIERÍA INDUSTRIAL</w:t>
      </w:r>
    </w:p>
    <w:p w14:paraId="5E331CE6" w14:textId="77777777" w:rsidR="00510791" w:rsidRPr="00810F85" w:rsidRDefault="00510791" w:rsidP="006E21FE">
      <w:pPr>
        <w:pStyle w:val="Default"/>
        <w:jc w:val="center"/>
        <w:rPr>
          <w:rFonts w:ascii="Arial" w:hAnsi="Arial" w:cs="Arial"/>
          <w:bCs w:val="0"/>
          <w:sz w:val="22"/>
          <w:szCs w:val="22"/>
        </w:rPr>
      </w:pPr>
    </w:p>
    <w:p w14:paraId="69E8887B" w14:textId="77777777" w:rsidR="00510791" w:rsidRPr="00810F85" w:rsidRDefault="00510791" w:rsidP="006E21FE">
      <w:pPr>
        <w:pStyle w:val="Default"/>
        <w:jc w:val="center"/>
        <w:rPr>
          <w:rFonts w:ascii="Arial" w:hAnsi="Arial" w:cs="Arial"/>
          <w:b/>
          <w:sz w:val="22"/>
          <w:szCs w:val="22"/>
        </w:rPr>
      </w:pPr>
    </w:p>
    <w:p w14:paraId="18C8CA3A" w14:textId="77777777" w:rsidR="00510791" w:rsidRPr="00810F85" w:rsidRDefault="00510791" w:rsidP="006E21FE">
      <w:pPr>
        <w:spacing w:line="240" w:lineRule="auto"/>
        <w:jc w:val="center"/>
        <w:rPr>
          <w:rFonts w:eastAsiaTheme="minorEastAsia"/>
          <w:b/>
          <w:bCs/>
        </w:rPr>
      </w:pPr>
    </w:p>
    <w:p w14:paraId="6A02C9FE" w14:textId="77777777" w:rsidR="00510791" w:rsidRPr="00810F85" w:rsidRDefault="00510791" w:rsidP="006E21FE">
      <w:pPr>
        <w:spacing w:line="240" w:lineRule="auto"/>
        <w:jc w:val="center"/>
        <w:rPr>
          <w:rFonts w:eastAsiaTheme="minorEastAsia"/>
          <w:b/>
          <w:bCs/>
        </w:rPr>
      </w:pPr>
    </w:p>
    <w:p w14:paraId="080BF496" w14:textId="77777777" w:rsidR="00510791" w:rsidRPr="00810F85" w:rsidRDefault="00510791" w:rsidP="006E21FE">
      <w:pPr>
        <w:spacing w:line="240" w:lineRule="auto"/>
        <w:jc w:val="center"/>
        <w:rPr>
          <w:rFonts w:eastAsiaTheme="minorEastAsia"/>
          <w:b/>
          <w:bCs/>
        </w:rPr>
      </w:pPr>
    </w:p>
    <w:p w14:paraId="4DB2D3C4" w14:textId="77777777" w:rsidR="005D1B8E" w:rsidRPr="00810F85" w:rsidRDefault="005D1B8E" w:rsidP="006E21FE">
      <w:pPr>
        <w:spacing w:line="240" w:lineRule="auto"/>
        <w:jc w:val="center"/>
        <w:rPr>
          <w:rFonts w:eastAsiaTheme="minorEastAsia"/>
          <w:b/>
          <w:bCs/>
        </w:rPr>
      </w:pPr>
    </w:p>
    <w:p w14:paraId="6072E5A9" w14:textId="77777777" w:rsidR="005D1B8E" w:rsidRPr="00810F85" w:rsidRDefault="005D1B8E" w:rsidP="006E21FE">
      <w:pPr>
        <w:spacing w:line="240" w:lineRule="auto"/>
        <w:jc w:val="center"/>
        <w:rPr>
          <w:rFonts w:eastAsiaTheme="minorEastAsia"/>
          <w:b/>
          <w:bCs/>
        </w:rPr>
      </w:pPr>
    </w:p>
    <w:p w14:paraId="32E16DF8" w14:textId="77777777" w:rsidR="001F6E10" w:rsidRPr="00810F85" w:rsidRDefault="001F6E10" w:rsidP="006E21FE">
      <w:pPr>
        <w:spacing w:line="240" w:lineRule="auto"/>
        <w:jc w:val="center"/>
        <w:rPr>
          <w:rFonts w:eastAsiaTheme="minorEastAsia"/>
          <w:b/>
          <w:bCs/>
        </w:rPr>
      </w:pPr>
    </w:p>
    <w:p w14:paraId="0D449A50" w14:textId="77777777" w:rsidR="001F6E10" w:rsidRPr="00810F85" w:rsidRDefault="001F6E10" w:rsidP="006E21FE">
      <w:pPr>
        <w:spacing w:line="240" w:lineRule="auto"/>
        <w:jc w:val="center"/>
        <w:rPr>
          <w:rFonts w:eastAsiaTheme="minorEastAsia"/>
          <w:b/>
          <w:bCs/>
        </w:rPr>
      </w:pPr>
    </w:p>
    <w:p w14:paraId="1BE0B306" w14:textId="77777777" w:rsidR="00510791" w:rsidRPr="00810F85" w:rsidRDefault="005D1B8E" w:rsidP="005D1B8E">
      <w:pPr>
        <w:pStyle w:val="Default"/>
        <w:jc w:val="center"/>
        <w:rPr>
          <w:rFonts w:ascii="Arial" w:hAnsi="Arial" w:cs="Arial"/>
          <w:b/>
          <w:sz w:val="22"/>
          <w:szCs w:val="22"/>
        </w:rPr>
      </w:pPr>
      <w:r w:rsidRPr="00810F85">
        <w:rPr>
          <w:rFonts w:ascii="Arial" w:hAnsi="Arial" w:cs="Arial"/>
          <w:b/>
          <w:sz w:val="22"/>
          <w:szCs w:val="22"/>
        </w:rPr>
        <w:t>FONDO COMÚN MUNICIPAL: ANÁLISIS DE LAS POSIBLES MODIFICACIONES AL IMPUESTO TERRITORIAL Y SU IMPACTO EN LA REDISTRIBUCIÓN MUNICIPAL.</w:t>
      </w:r>
    </w:p>
    <w:p w14:paraId="1640BD5B" w14:textId="77777777" w:rsidR="00DF7ECB" w:rsidRPr="00810F85" w:rsidRDefault="00DF7ECB" w:rsidP="006E21FE">
      <w:pPr>
        <w:pStyle w:val="Default"/>
        <w:jc w:val="center"/>
        <w:rPr>
          <w:rFonts w:ascii="Arial" w:hAnsi="Arial" w:cs="Arial"/>
          <w:b/>
          <w:sz w:val="22"/>
          <w:szCs w:val="22"/>
        </w:rPr>
      </w:pPr>
    </w:p>
    <w:p w14:paraId="4CAD0D2C" w14:textId="77777777" w:rsidR="00DF7ECB" w:rsidRPr="00810F85" w:rsidRDefault="00DF7ECB" w:rsidP="006E21FE">
      <w:pPr>
        <w:pStyle w:val="Default"/>
        <w:jc w:val="center"/>
        <w:rPr>
          <w:rFonts w:ascii="Arial" w:hAnsi="Arial" w:cs="Arial"/>
          <w:b/>
          <w:sz w:val="22"/>
          <w:szCs w:val="22"/>
        </w:rPr>
      </w:pPr>
    </w:p>
    <w:p w14:paraId="25DF24E8" w14:textId="77777777" w:rsidR="00510791" w:rsidRPr="00810F85" w:rsidRDefault="00510791" w:rsidP="006E21FE">
      <w:pPr>
        <w:pStyle w:val="Default"/>
        <w:jc w:val="center"/>
        <w:rPr>
          <w:rFonts w:ascii="Arial" w:hAnsi="Arial" w:cs="Arial"/>
          <w:bCs w:val="0"/>
          <w:sz w:val="22"/>
          <w:szCs w:val="22"/>
        </w:rPr>
      </w:pPr>
      <w:r w:rsidRPr="00810F85">
        <w:rPr>
          <w:rFonts w:ascii="Arial" w:hAnsi="Arial" w:cs="Arial"/>
          <w:b/>
          <w:sz w:val="22"/>
          <w:szCs w:val="22"/>
        </w:rPr>
        <w:t>PRIMERA ENTREGA DE TESIS PARA OPTAR AL GRADO DE</w:t>
      </w:r>
    </w:p>
    <w:p w14:paraId="7C979C8A" w14:textId="77777777" w:rsidR="00510791" w:rsidRPr="00810F85" w:rsidRDefault="00510791" w:rsidP="006E21FE">
      <w:pPr>
        <w:pStyle w:val="Default"/>
        <w:jc w:val="center"/>
        <w:rPr>
          <w:rFonts w:ascii="Arial" w:hAnsi="Arial" w:cs="Arial"/>
          <w:b/>
          <w:sz w:val="22"/>
          <w:szCs w:val="22"/>
        </w:rPr>
      </w:pPr>
      <w:r w:rsidRPr="00810F85">
        <w:rPr>
          <w:rFonts w:ascii="Arial" w:hAnsi="Arial" w:cs="Arial"/>
          <w:b/>
          <w:sz w:val="22"/>
          <w:szCs w:val="22"/>
        </w:rPr>
        <w:t>MAGÍSTER EN GESTIÓN Y POLÍTICAS PÚBLICAS</w:t>
      </w:r>
    </w:p>
    <w:p w14:paraId="5F5D462E" w14:textId="77777777" w:rsidR="00510791" w:rsidRPr="00810F85" w:rsidRDefault="00510791" w:rsidP="006E21FE">
      <w:pPr>
        <w:spacing w:line="240" w:lineRule="auto"/>
        <w:jc w:val="center"/>
        <w:rPr>
          <w:rFonts w:eastAsiaTheme="minorEastAsia"/>
          <w:b/>
          <w:bCs/>
        </w:rPr>
      </w:pPr>
    </w:p>
    <w:p w14:paraId="185A29DB" w14:textId="77777777" w:rsidR="00DF7ECB" w:rsidRPr="00810F85" w:rsidRDefault="00DF7ECB" w:rsidP="006E21FE">
      <w:pPr>
        <w:pStyle w:val="Default"/>
        <w:jc w:val="center"/>
        <w:rPr>
          <w:rFonts w:ascii="Arial" w:hAnsi="Arial" w:cs="Arial"/>
          <w:sz w:val="22"/>
          <w:szCs w:val="22"/>
        </w:rPr>
      </w:pPr>
    </w:p>
    <w:p w14:paraId="5604738D" w14:textId="77777777" w:rsidR="00DF7ECB" w:rsidRPr="00810F85" w:rsidRDefault="00DF7ECB" w:rsidP="006E21FE">
      <w:pPr>
        <w:pStyle w:val="Default"/>
        <w:jc w:val="center"/>
        <w:rPr>
          <w:rFonts w:ascii="Arial" w:hAnsi="Arial" w:cs="Arial"/>
          <w:sz w:val="22"/>
          <w:szCs w:val="22"/>
        </w:rPr>
      </w:pPr>
    </w:p>
    <w:p w14:paraId="03D1BC85" w14:textId="77777777" w:rsidR="00510791" w:rsidRPr="00810F85" w:rsidRDefault="00510791" w:rsidP="006E21FE">
      <w:pPr>
        <w:spacing w:line="240" w:lineRule="auto"/>
      </w:pPr>
    </w:p>
    <w:p w14:paraId="2039FB0F" w14:textId="77777777" w:rsidR="00DF7ECB" w:rsidRPr="00810F85" w:rsidRDefault="00DF7ECB" w:rsidP="006E21FE">
      <w:pPr>
        <w:pStyle w:val="Default"/>
        <w:jc w:val="center"/>
        <w:rPr>
          <w:rFonts w:ascii="Arial" w:hAnsi="Arial" w:cs="Arial"/>
          <w:b/>
          <w:sz w:val="22"/>
          <w:szCs w:val="22"/>
        </w:rPr>
      </w:pPr>
    </w:p>
    <w:p w14:paraId="6B611F86" w14:textId="77777777" w:rsidR="00DF7ECB" w:rsidRPr="00810F85" w:rsidRDefault="00DF7ECB" w:rsidP="006E21FE">
      <w:pPr>
        <w:pStyle w:val="Default"/>
        <w:jc w:val="center"/>
        <w:rPr>
          <w:rFonts w:ascii="Arial" w:hAnsi="Arial" w:cs="Arial"/>
          <w:b/>
          <w:sz w:val="22"/>
          <w:szCs w:val="22"/>
        </w:rPr>
      </w:pPr>
    </w:p>
    <w:p w14:paraId="080356E9" w14:textId="77777777" w:rsidR="00DF7ECB" w:rsidRPr="00810F85" w:rsidRDefault="00DF7ECB" w:rsidP="006E21FE">
      <w:pPr>
        <w:pStyle w:val="Default"/>
        <w:jc w:val="center"/>
        <w:rPr>
          <w:rFonts w:ascii="Arial" w:hAnsi="Arial" w:cs="Arial"/>
          <w:b/>
          <w:sz w:val="22"/>
          <w:szCs w:val="22"/>
        </w:rPr>
      </w:pPr>
    </w:p>
    <w:p w14:paraId="0329EC9C" w14:textId="77777777" w:rsidR="00DF7ECB" w:rsidRPr="00810F85" w:rsidRDefault="00DF7ECB" w:rsidP="006E21FE">
      <w:pPr>
        <w:pStyle w:val="Default"/>
        <w:jc w:val="center"/>
        <w:rPr>
          <w:rFonts w:ascii="Arial" w:hAnsi="Arial" w:cs="Arial"/>
          <w:b/>
          <w:sz w:val="22"/>
          <w:szCs w:val="22"/>
        </w:rPr>
      </w:pPr>
    </w:p>
    <w:p w14:paraId="7A66C67B" w14:textId="77777777" w:rsidR="00510791" w:rsidRPr="00810F85" w:rsidRDefault="00510791" w:rsidP="006E21FE">
      <w:pPr>
        <w:spacing w:after="200" w:line="240" w:lineRule="auto"/>
        <w:rPr>
          <w:rFonts w:eastAsia="Calibri"/>
          <w:b/>
        </w:rPr>
      </w:pPr>
    </w:p>
    <w:p w14:paraId="53D94429" w14:textId="77777777" w:rsidR="00510791" w:rsidRPr="00810F85" w:rsidRDefault="00510791" w:rsidP="006E21FE">
      <w:pPr>
        <w:spacing w:after="200" w:line="240" w:lineRule="auto"/>
        <w:rPr>
          <w:rFonts w:eastAsia="Calibri"/>
          <w:b/>
        </w:rPr>
      </w:pPr>
    </w:p>
    <w:p w14:paraId="5118C3D1" w14:textId="77777777" w:rsidR="00510791" w:rsidRPr="00810F85" w:rsidRDefault="00510791" w:rsidP="006E21FE">
      <w:pPr>
        <w:spacing w:after="200" w:line="240" w:lineRule="auto"/>
        <w:rPr>
          <w:rFonts w:eastAsia="Calibri"/>
          <w:b/>
        </w:rPr>
      </w:pPr>
    </w:p>
    <w:p w14:paraId="3E1D0A7C" w14:textId="77777777" w:rsidR="00510791" w:rsidRPr="00810F85" w:rsidRDefault="00510791" w:rsidP="006E21FE">
      <w:pPr>
        <w:spacing w:after="200" w:line="240" w:lineRule="auto"/>
        <w:rPr>
          <w:rFonts w:eastAsia="Calibri"/>
          <w:b/>
        </w:rPr>
      </w:pPr>
    </w:p>
    <w:p w14:paraId="7B27FD8D" w14:textId="77777777" w:rsidR="00DF7ECB" w:rsidRPr="00810F85" w:rsidRDefault="00DF7ECB" w:rsidP="006E21FE">
      <w:pPr>
        <w:spacing w:after="200" w:line="240" w:lineRule="auto"/>
        <w:rPr>
          <w:rFonts w:eastAsia="Calibri"/>
          <w:b/>
        </w:rPr>
      </w:pPr>
    </w:p>
    <w:p w14:paraId="48370781" w14:textId="77777777" w:rsidR="00A858D2" w:rsidRPr="00810F85" w:rsidRDefault="00A858D2" w:rsidP="006E21FE">
      <w:pPr>
        <w:spacing w:after="200" w:line="240" w:lineRule="auto"/>
        <w:rPr>
          <w:rFonts w:eastAsia="Calibri"/>
          <w:b/>
        </w:rPr>
      </w:pPr>
    </w:p>
    <w:p w14:paraId="0227AE51" w14:textId="77777777" w:rsidR="00DF7ECB" w:rsidRPr="00810F85" w:rsidRDefault="00DF7ECB" w:rsidP="006E21FE">
      <w:pPr>
        <w:spacing w:after="200" w:line="240" w:lineRule="auto"/>
        <w:rPr>
          <w:rFonts w:eastAsia="Calibri"/>
          <w:b/>
        </w:rPr>
      </w:pPr>
    </w:p>
    <w:p w14:paraId="475713B8" w14:textId="77777777" w:rsidR="00510791" w:rsidRPr="00810F85" w:rsidRDefault="005D1B8E" w:rsidP="006E21FE">
      <w:pPr>
        <w:pStyle w:val="Default"/>
        <w:jc w:val="center"/>
        <w:rPr>
          <w:rFonts w:ascii="Arial" w:hAnsi="Arial" w:cs="Arial"/>
          <w:bCs w:val="0"/>
          <w:sz w:val="22"/>
          <w:szCs w:val="22"/>
        </w:rPr>
      </w:pPr>
      <w:r w:rsidRPr="00810F85">
        <w:rPr>
          <w:rFonts w:ascii="Arial" w:hAnsi="Arial" w:cs="Arial"/>
          <w:bCs w:val="0"/>
          <w:sz w:val="22"/>
          <w:szCs w:val="22"/>
        </w:rPr>
        <w:t>Santiago de Chile</w:t>
      </w:r>
      <w:r w:rsidRPr="00810F85">
        <w:rPr>
          <w:rFonts w:ascii="Arial" w:hAnsi="Arial" w:cs="Arial"/>
          <w:bCs w:val="0"/>
          <w:sz w:val="22"/>
          <w:szCs w:val="22"/>
        </w:rPr>
        <w:br/>
        <w:t>Noviembre 2018</w:t>
      </w:r>
    </w:p>
    <w:p w14:paraId="729C5FD2" w14:textId="77777777" w:rsidR="00510791" w:rsidRPr="00810F85" w:rsidRDefault="00510791" w:rsidP="006E21FE">
      <w:pPr>
        <w:spacing w:after="200" w:line="240" w:lineRule="auto"/>
        <w:rPr>
          <w:rFonts w:eastAsia="Calibri"/>
          <w:b/>
        </w:rPr>
      </w:pPr>
    </w:p>
    <w:p w14:paraId="7414F44C" w14:textId="77777777" w:rsidR="00944BEF" w:rsidRPr="00810F85" w:rsidRDefault="00944BEF" w:rsidP="006E21FE">
      <w:pPr>
        <w:spacing w:line="240" w:lineRule="auto"/>
        <w:rPr>
          <w:rFonts w:eastAsia="Calibri"/>
          <w:b/>
        </w:rPr>
      </w:pPr>
    </w:p>
    <w:p w14:paraId="62ECEEEF" w14:textId="77777777" w:rsidR="001F6E10" w:rsidRDefault="001F6E10" w:rsidP="006E21FE">
      <w:pPr>
        <w:spacing w:line="240" w:lineRule="auto"/>
        <w:rPr>
          <w:rFonts w:eastAsia="Calibri"/>
          <w:b/>
        </w:rPr>
      </w:pPr>
    </w:p>
    <w:p w14:paraId="3697333F" w14:textId="77777777" w:rsidR="00CD30EB" w:rsidRDefault="00CD30EB" w:rsidP="006E21FE">
      <w:pPr>
        <w:spacing w:line="240" w:lineRule="auto"/>
        <w:rPr>
          <w:rFonts w:eastAsia="Calibri"/>
          <w:b/>
        </w:rPr>
      </w:pPr>
    </w:p>
    <w:p w14:paraId="6195CB5B" w14:textId="77777777" w:rsidR="00CD30EB" w:rsidRDefault="00CD30EB" w:rsidP="006E21FE">
      <w:pPr>
        <w:spacing w:line="240" w:lineRule="auto"/>
        <w:rPr>
          <w:rFonts w:eastAsia="Calibri"/>
          <w:b/>
        </w:rPr>
      </w:pPr>
    </w:p>
    <w:p w14:paraId="4AA7493C" w14:textId="77777777" w:rsidR="00CD30EB" w:rsidRPr="00810F85" w:rsidRDefault="00CD30EB" w:rsidP="006E21FE">
      <w:pPr>
        <w:spacing w:line="240" w:lineRule="auto"/>
        <w:rPr>
          <w:rFonts w:eastAsia="Calibri"/>
          <w:b/>
        </w:rPr>
      </w:pPr>
    </w:p>
    <w:sdt>
      <w:sdtPr>
        <w:rPr>
          <w:rFonts w:ascii="Arial" w:eastAsia="Arial" w:hAnsi="Arial" w:cs="Arial"/>
          <w:b/>
          <w:color w:val="000000"/>
          <w:sz w:val="22"/>
          <w:szCs w:val="22"/>
          <w:lang w:val="es-ES"/>
        </w:rPr>
        <w:id w:val="-491171851"/>
        <w:docPartObj>
          <w:docPartGallery w:val="Table of Contents"/>
          <w:docPartUnique/>
        </w:docPartObj>
      </w:sdtPr>
      <w:sdtEndPr>
        <w:rPr>
          <w:bCs/>
        </w:rPr>
      </w:sdtEndPr>
      <w:sdtContent>
        <w:p w14:paraId="0EB16136" w14:textId="77777777" w:rsidR="0084007E" w:rsidRPr="00CD30EB" w:rsidRDefault="004036E1">
          <w:pPr>
            <w:pStyle w:val="TtulodeTDC"/>
            <w:rPr>
              <w:rFonts w:ascii="Arial" w:hAnsi="Arial" w:cs="Arial"/>
              <w:b/>
              <w:color w:val="auto"/>
              <w:sz w:val="22"/>
              <w:szCs w:val="22"/>
              <w:lang w:val="es-ES"/>
            </w:rPr>
          </w:pPr>
          <w:r w:rsidRPr="00CD30EB">
            <w:rPr>
              <w:rFonts w:ascii="Arial" w:hAnsi="Arial" w:cs="Arial"/>
              <w:b/>
              <w:color w:val="auto"/>
              <w:sz w:val="22"/>
              <w:szCs w:val="22"/>
              <w:lang w:val="es-ES"/>
            </w:rPr>
            <w:t>Tabla de contenido</w:t>
          </w:r>
        </w:p>
        <w:p w14:paraId="45EB02FF" w14:textId="77777777" w:rsidR="0084007E" w:rsidRPr="00810F85" w:rsidRDefault="0084007E" w:rsidP="0084007E">
          <w:pPr>
            <w:rPr>
              <w:lang w:val="es-ES"/>
            </w:rPr>
          </w:pPr>
        </w:p>
        <w:p w14:paraId="63DEDB2F" w14:textId="77777777" w:rsidR="0084007E" w:rsidRPr="00810F85" w:rsidRDefault="0084007E" w:rsidP="0084007E">
          <w:pPr>
            <w:rPr>
              <w:lang w:val="es-ES"/>
            </w:rPr>
          </w:pPr>
        </w:p>
        <w:p w14:paraId="778B7F26" w14:textId="77777777" w:rsidR="0084007E" w:rsidRPr="00810F85" w:rsidRDefault="0084007E" w:rsidP="0084007E">
          <w:pPr>
            <w:rPr>
              <w:lang w:val="es-ES"/>
            </w:rPr>
          </w:pPr>
        </w:p>
        <w:p w14:paraId="3D99D648" w14:textId="77777777" w:rsidR="009D2660" w:rsidRPr="00810F85" w:rsidRDefault="00ED4349">
          <w:pPr>
            <w:pStyle w:val="TDC1"/>
            <w:tabs>
              <w:tab w:val="left" w:pos="480"/>
              <w:tab w:val="right" w:leader="dot" w:pos="8828"/>
            </w:tabs>
            <w:rPr>
              <w:rFonts w:eastAsiaTheme="minorEastAsia"/>
              <w:noProof/>
              <w:color w:val="auto"/>
              <w:lang w:eastAsia="ja-JP"/>
            </w:rPr>
          </w:pPr>
          <w:r w:rsidRPr="00810F85">
            <w:fldChar w:fldCharType="begin"/>
          </w:r>
          <w:r w:rsidR="0084007E" w:rsidRPr="00810F85">
            <w:instrText xml:space="preserve"> TOC \o "1-3" \h \z \u </w:instrText>
          </w:r>
          <w:r w:rsidRPr="00810F85">
            <w:fldChar w:fldCharType="separate"/>
          </w:r>
          <w:hyperlink w:anchor="_Toc530596776" w:history="1">
            <w:r w:rsidR="009D2660" w:rsidRPr="00810F85">
              <w:rPr>
                <w:rStyle w:val="Hipervnculo"/>
                <w:noProof/>
              </w:rPr>
              <w:t>1.</w:t>
            </w:r>
            <w:r w:rsidR="009D2660" w:rsidRPr="00810F85">
              <w:rPr>
                <w:rFonts w:eastAsiaTheme="minorEastAsia"/>
                <w:noProof/>
                <w:color w:val="auto"/>
                <w:lang w:eastAsia="ja-JP"/>
              </w:rPr>
              <w:tab/>
            </w:r>
            <w:r w:rsidR="009D2660" w:rsidRPr="00810F85">
              <w:rPr>
                <w:rStyle w:val="Hipervnculo"/>
                <w:noProof/>
              </w:rPr>
              <w:t>ANTECEDENTES</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_Toc530596776 \h </w:instrText>
            </w:r>
            <w:r w:rsidR="009D2660" w:rsidRPr="00810F85">
              <w:rPr>
                <w:noProof/>
                <w:webHidden/>
              </w:rPr>
            </w:r>
            <w:r w:rsidR="009D2660" w:rsidRPr="00810F85">
              <w:rPr>
                <w:noProof/>
                <w:webHidden/>
              </w:rPr>
              <w:fldChar w:fldCharType="separate"/>
            </w:r>
            <w:r w:rsidR="009A375C">
              <w:rPr>
                <w:noProof/>
                <w:webHidden/>
              </w:rPr>
              <w:t>3</w:t>
            </w:r>
            <w:r w:rsidR="009D2660" w:rsidRPr="00810F85">
              <w:rPr>
                <w:noProof/>
                <w:webHidden/>
              </w:rPr>
              <w:fldChar w:fldCharType="end"/>
            </w:r>
          </w:hyperlink>
        </w:p>
        <w:p w14:paraId="51BE5D33" w14:textId="77777777" w:rsidR="009D2660" w:rsidRPr="00810F85" w:rsidRDefault="00E47704">
          <w:pPr>
            <w:pStyle w:val="TDC1"/>
            <w:tabs>
              <w:tab w:val="left" w:pos="480"/>
              <w:tab w:val="right" w:leader="dot" w:pos="8828"/>
            </w:tabs>
            <w:rPr>
              <w:rFonts w:eastAsiaTheme="minorEastAsia"/>
              <w:noProof/>
              <w:color w:val="auto"/>
              <w:lang w:eastAsia="ja-JP"/>
            </w:rPr>
          </w:pPr>
          <w:hyperlink w:anchor="_Toc530596777" w:history="1">
            <w:r w:rsidR="009D2660" w:rsidRPr="00810F85">
              <w:rPr>
                <w:rStyle w:val="Hipervnculo"/>
                <w:noProof/>
              </w:rPr>
              <w:t>2.</w:t>
            </w:r>
            <w:r w:rsidR="009D2660" w:rsidRPr="00810F85">
              <w:rPr>
                <w:rFonts w:eastAsiaTheme="minorEastAsia"/>
                <w:noProof/>
                <w:color w:val="auto"/>
                <w:lang w:eastAsia="ja-JP"/>
              </w:rPr>
              <w:tab/>
            </w:r>
            <w:r w:rsidR="009D2660" w:rsidRPr="00810F85">
              <w:rPr>
                <w:rStyle w:val="Hipervnculo"/>
                <w:noProof/>
              </w:rPr>
              <w:t>OBJETIVOS</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_Toc530596777 \h </w:instrText>
            </w:r>
            <w:r w:rsidR="009D2660" w:rsidRPr="00810F85">
              <w:rPr>
                <w:noProof/>
                <w:webHidden/>
              </w:rPr>
            </w:r>
            <w:r w:rsidR="009D2660" w:rsidRPr="00810F85">
              <w:rPr>
                <w:noProof/>
                <w:webHidden/>
              </w:rPr>
              <w:fldChar w:fldCharType="separate"/>
            </w:r>
            <w:r w:rsidR="009A375C">
              <w:rPr>
                <w:noProof/>
                <w:webHidden/>
              </w:rPr>
              <w:t>5</w:t>
            </w:r>
            <w:r w:rsidR="009D2660" w:rsidRPr="00810F85">
              <w:rPr>
                <w:noProof/>
                <w:webHidden/>
              </w:rPr>
              <w:fldChar w:fldCharType="end"/>
            </w:r>
          </w:hyperlink>
        </w:p>
        <w:p w14:paraId="0F0A4D97" w14:textId="77777777" w:rsidR="009D2660" w:rsidRPr="00810F85" w:rsidRDefault="00E47704">
          <w:pPr>
            <w:pStyle w:val="TDC2"/>
            <w:tabs>
              <w:tab w:val="left" w:pos="960"/>
              <w:tab w:val="right" w:leader="dot" w:pos="8828"/>
            </w:tabs>
            <w:rPr>
              <w:rFonts w:eastAsiaTheme="minorEastAsia"/>
              <w:noProof/>
              <w:color w:val="auto"/>
              <w:lang w:eastAsia="ja-JP"/>
            </w:rPr>
          </w:pPr>
          <w:hyperlink w:anchor="_Toc530596778" w:history="1">
            <w:r w:rsidR="009D2660" w:rsidRPr="00810F85">
              <w:rPr>
                <w:rStyle w:val="Hipervnculo"/>
                <w:b/>
                <w:noProof/>
              </w:rPr>
              <w:t>2.1.</w:t>
            </w:r>
            <w:r w:rsidR="009D2660" w:rsidRPr="00810F85">
              <w:rPr>
                <w:rFonts w:eastAsiaTheme="minorEastAsia"/>
                <w:noProof/>
                <w:color w:val="auto"/>
                <w:lang w:eastAsia="ja-JP"/>
              </w:rPr>
              <w:tab/>
            </w:r>
            <w:r w:rsidR="009D2660" w:rsidRPr="00810F85">
              <w:rPr>
                <w:rStyle w:val="Hipervnculo"/>
                <w:b/>
                <w:noProof/>
              </w:rPr>
              <w:t>OBJETIVO GENERAL</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_Toc530596778 \h </w:instrText>
            </w:r>
            <w:r w:rsidR="009D2660" w:rsidRPr="00810F85">
              <w:rPr>
                <w:noProof/>
                <w:webHidden/>
              </w:rPr>
            </w:r>
            <w:r w:rsidR="009D2660" w:rsidRPr="00810F85">
              <w:rPr>
                <w:noProof/>
                <w:webHidden/>
              </w:rPr>
              <w:fldChar w:fldCharType="separate"/>
            </w:r>
            <w:r w:rsidR="009A375C">
              <w:rPr>
                <w:noProof/>
                <w:webHidden/>
              </w:rPr>
              <w:t>5</w:t>
            </w:r>
            <w:r w:rsidR="009D2660" w:rsidRPr="00810F85">
              <w:rPr>
                <w:noProof/>
                <w:webHidden/>
              </w:rPr>
              <w:fldChar w:fldCharType="end"/>
            </w:r>
          </w:hyperlink>
        </w:p>
        <w:p w14:paraId="194F4817" w14:textId="77777777" w:rsidR="009D2660" w:rsidRPr="00810F85" w:rsidRDefault="00E47704">
          <w:pPr>
            <w:pStyle w:val="TDC2"/>
            <w:tabs>
              <w:tab w:val="left" w:pos="960"/>
              <w:tab w:val="right" w:leader="dot" w:pos="8828"/>
            </w:tabs>
            <w:rPr>
              <w:rFonts w:eastAsiaTheme="minorEastAsia"/>
              <w:noProof/>
              <w:color w:val="auto"/>
              <w:lang w:eastAsia="ja-JP"/>
            </w:rPr>
          </w:pPr>
          <w:hyperlink w:anchor="_Toc530596779" w:history="1">
            <w:r w:rsidR="009D2660" w:rsidRPr="00810F85">
              <w:rPr>
                <w:rStyle w:val="Hipervnculo"/>
                <w:b/>
                <w:noProof/>
              </w:rPr>
              <w:t>2.2.</w:t>
            </w:r>
            <w:r w:rsidR="009D2660" w:rsidRPr="00810F85">
              <w:rPr>
                <w:rFonts w:eastAsiaTheme="minorEastAsia"/>
                <w:noProof/>
                <w:color w:val="auto"/>
                <w:lang w:eastAsia="ja-JP"/>
              </w:rPr>
              <w:tab/>
            </w:r>
            <w:r w:rsidR="009D2660" w:rsidRPr="00810F85">
              <w:rPr>
                <w:rStyle w:val="Hipervnculo"/>
                <w:b/>
                <w:noProof/>
              </w:rPr>
              <w:t>OBJETIVOS ESPECIFICOS</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_Toc530596779 \h </w:instrText>
            </w:r>
            <w:r w:rsidR="009D2660" w:rsidRPr="00810F85">
              <w:rPr>
                <w:noProof/>
                <w:webHidden/>
              </w:rPr>
            </w:r>
            <w:r w:rsidR="009D2660" w:rsidRPr="00810F85">
              <w:rPr>
                <w:noProof/>
                <w:webHidden/>
              </w:rPr>
              <w:fldChar w:fldCharType="separate"/>
            </w:r>
            <w:r w:rsidR="009A375C">
              <w:rPr>
                <w:noProof/>
                <w:webHidden/>
              </w:rPr>
              <w:t>5</w:t>
            </w:r>
            <w:r w:rsidR="009D2660" w:rsidRPr="00810F85">
              <w:rPr>
                <w:noProof/>
                <w:webHidden/>
              </w:rPr>
              <w:fldChar w:fldCharType="end"/>
            </w:r>
          </w:hyperlink>
        </w:p>
        <w:p w14:paraId="118D509B" w14:textId="77777777" w:rsidR="009D2660" w:rsidRPr="00810F85" w:rsidRDefault="00E47704">
          <w:pPr>
            <w:pStyle w:val="TDC1"/>
            <w:tabs>
              <w:tab w:val="left" w:pos="480"/>
              <w:tab w:val="right" w:leader="dot" w:pos="8828"/>
            </w:tabs>
            <w:rPr>
              <w:rFonts w:eastAsiaTheme="minorEastAsia"/>
              <w:noProof/>
              <w:color w:val="auto"/>
              <w:lang w:eastAsia="ja-JP"/>
            </w:rPr>
          </w:pPr>
          <w:hyperlink w:anchor="_Toc530596780" w:history="1">
            <w:r w:rsidR="009D2660" w:rsidRPr="00810F85">
              <w:rPr>
                <w:rStyle w:val="Hipervnculo"/>
                <w:noProof/>
              </w:rPr>
              <w:t>3.</w:t>
            </w:r>
            <w:r w:rsidR="009D2660" w:rsidRPr="00810F85">
              <w:rPr>
                <w:rFonts w:eastAsiaTheme="minorEastAsia"/>
                <w:noProof/>
                <w:color w:val="auto"/>
                <w:lang w:eastAsia="ja-JP"/>
              </w:rPr>
              <w:tab/>
            </w:r>
            <w:r w:rsidR="009D2660" w:rsidRPr="00810F85">
              <w:rPr>
                <w:rStyle w:val="Hipervnculo"/>
                <w:noProof/>
              </w:rPr>
              <w:t>MARCO TEÓRICO</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_Toc530596780 \h </w:instrText>
            </w:r>
            <w:r w:rsidR="009D2660" w:rsidRPr="00810F85">
              <w:rPr>
                <w:noProof/>
                <w:webHidden/>
              </w:rPr>
            </w:r>
            <w:r w:rsidR="009D2660" w:rsidRPr="00810F85">
              <w:rPr>
                <w:noProof/>
                <w:webHidden/>
              </w:rPr>
              <w:fldChar w:fldCharType="separate"/>
            </w:r>
            <w:r w:rsidR="009A375C">
              <w:rPr>
                <w:noProof/>
                <w:webHidden/>
              </w:rPr>
              <w:t>6</w:t>
            </w:r>
            <w:r w:rsidR="009D2660" w:rsidRPr="00810F85">
              <w:rPr>
                <w:noProof/>
                <w:webHidden/>
              </w:rPr>
              <w:fldChar w:fldCharType="end"/>
            </w:r>
          </w:hyperlink>
        </w:p>
        <w:p w14:paraId="755A1143" w14:textId="77777777" w:rsidR="009D2660" w:rsidRPr="00810F85" w:rsidRDefault="00E47704">
          <w:pPr>
            <w:pStyle w:val="TDC2"/>
            <w:tabs>
              <w:tab w:val="left" w:pos="960"/>
              <w:tab w:val="right" w:leader="dot" w:pos="8828"/>
            </w:tabs>
            <w:rPr>
              <w:rFonts w:eastAsiaTheme="minorEastAsia"/>
              <w:noProof/>
              <w:color w:val="auto"/>
              <w:lang w:eastAsia="ja-JP"/>
            </w:rPr>
          </w:pPr>
          <w:hyperlink w:anchor="_Toc530596781" w:history="1">
            <w:r w:rsidR="009D2660" w:rsidRPr="00810F85">
              <w:rPr>
                <w:rStyle w:val="Hipervnculo"/>
                <w:b/>
                <w:noProof/>
              </w:rPr>
              <w:t>3.1.</w:t>
            </w:r>
            <w:r w:rsidR="009D2660" w:rsidRPr="00810F85">
              <w:rPr>
                <w:rFonts w:eastAsiaTheme="minorEastAsia"/>
                <w:noProof/>
                <w:color w:val="auto"/>
                <w:lang w:eastAsia="ja-JP"/>
              </w:rPr>
              <w:tab/>
            </w:r>
            <w:r w:rsidR="009D2660" w:rsidRPr="00810F85">
              <w:rPr>
                <w:rStyle w:val="Hipervnculo"/>
                <w:b/>
                <w:noProof/>
              </w:rPr>
              <w:t>Introducción</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_Toc530596781 \h </w:instrText>
            </w:r>
            <w:r w:rsidR="009D2660" w:rsidRPr="00810F85">
              <w:rPr>
                <w:noProof/>
                <w:webHidden/>
              </w:rPr>
            </w:r>
            <w:r w:rsidR="009D2660" w:rsidRPr="00810F85">
              <w:rPr>
                <w:noProof/>
                <w:webHidden/>
              </w:rPr>
              <w:fldChar w:fldCharType="separate"/>
            </w:r>
            <w:r w:rsidR="009A375C">
              <w:rPr>
                <w:noProof/>
                <w:webHidden/>
              </w:rPr>
              <w:t>6</w:t>
            </w:r>
            <w:r w:rsidR="009D2660" w:rsidRPr="00810F85">
              <w:rPr>
                <w:noProof/>
                <w:webHidden/>
              </w:rPr>
              <w:fldChar w:fldCharType="end"/>
            </w:r>
          </w:hyperlink>
        </w:p>
        <w:p w14:paraId="1B553812" w14:textId="77777777" w:rsidR="009D2660" w:rsidRPr="00810F85" w:rsidRDefault="00E47704">
          <w:pPr>
            <w:pStyle w:val="TDC2"/>
            <w:tabs>
              <w:tab w:val="left" w:pos="960"/>
              <w:tab w:val="right" w:leader="dot" w:pos="8828"/>
            </w:tabs>
            <w:rPr>
              <w:rFonts w:eastAsiaTheme="minorEastAsia"/>
              <w:noProof/>
              <w:color w:val="auto"/>
              <w:lang w:eastAsia="ja-JP"/>
            </w:rPr>
          </w:pPr>
          <w:hyperlink w:anchor="_Toc530596782" w:history="1">
            <w:r w:rsidR="009D2660" w:rsidRPr="00810F85">
              <w:rPr>
                <w:rStyle w:val="Hipervnculo"/>
                <w:b/>
                <w:noProof/>
              </w:rPr>
              <w:t>3.2.</w:t>
            </w:r>
            <w:r w:rsidR="009D2660" w:rsidRPr="00810F85">
              <w:rPr>
                <w:rFonts w:eastAsiaTheme="minorEastAsia"/>
                <w:noProof/>
                <w:color w:val="auto"/>
                <w:lang w:eastAsia="ja-JP"/>
              </w:rPr>
              <w:tab/>
            </w:r>
            <w:r w:rsidR="009D2660" w:rsidRPr="00810F85">
              <w:rPr>
                <w:rStyle w:val="Hipervnculo"/>
                <w:b/>
                <w:noProof/>
              </w:rPr>
              <w:t>Los Municipios en Chile y su financiamiento</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_Toc530596782 \h </w:instrText>
            </w:r>
            <w:r w:rsidR="009D2660" w:rsidRPr="00810F85">
              <w:rPr>
                <w:noProof/>
                <w:webHidden/>
              </w:rPr>
            </w:r>
            <w:r w:rsidR="009D2660" w:rsidRPr="00810F85">
              <w:rPr>
                <w:noProof/>
                <w:webHidden/>
              </w:rPr>
              <w:fldChar w:fldCharType="separate"/>
            </w:r>
            <w:r w:rsidR="009A375C">
              <w:rPr>
                <w:noProof/>
                <w:webHidden/>
              </w:rPr>
              <w:t>6</w:t>
            </w:r>
            <w:r w:rsidR="009D2660" w:rsidRPr="00810F85">
              <w:rPr>
                <w:noProof/>
                <w:webHidden/>
              </w:rPr>
              <w:fldChar w:fldCharType="end"/>
            </w:r>
          </w:hyperlink>
        </w:p>
        <w:p w14:paraId="2F54C06A" w14:textId="77777777" w:rsidR="009D2660" w:rsidRPr="00810F85" w:rsidRDefault="00E47704">
          <w:pPr>
            <w:pStyle w:val="TDC2"/>
            <w:tabs>
              <w:tab w:val="left" w:pos="960"/>
              <w:tab w:val="right" w:leader="dot" w:pos="8828"/>
            </w:tabs>
            <w:rPr>
              <w:rFonts w:eastAsiaTheme="minorEastAsia"/>
              <w:noProof/>
              <w:color w:val="auto"/>
              <w:lang w:eastAsia="ja-JP"/>
            </w:rPr>
          </w:pPr>
          <w:hyperlink w:anchor="_Toc530596783" w:history="1">
            <w:r w:rsidR="009D2660" w:rsidRPr="00810F85">
              <w:rPr>
                <w:rStyle w:val="Hipervnculo"/>
                <w:b/>
                <w:noProof/>
              </w:rPr>
              <w:t>3.3.</w:t>
            </w:r>
            <w:r w:rsidR="009D2660" w:rsidRPr="00810F85">
              <w:rPr>
                <w:rFonts w:eastAsiaTheme="minorEastAsia"/>
                <w:noProof/>
                <w:color w:val="auto"/>
                <w:lang w:eastAsia="ja-JP"/>
              </w:rPr>
              <w:tab/>
            </w:r>
            <w:r w:rsidR="009D2660" w:rsidRPr="00810F85">
              <w:rPr>
                <w:rStyle w:val="Hipervnculo"/>
                <w:b/>
                <w:noProof/>
              </w:rPr>
              <w:t>El Fondo Común Municipal</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_Toc530596783 \h </w:instrText>
            </w:r>
            <w:r w:rsidR="009D2660" w:rsidRPr="00810F85">
              <w:rPr>
                <w:noProof/>
                <w:webHidden/>
              </w:rPr>
            </w:r>
            <w:r w:rsidR="009D2660" w:rsidRPr="00810F85">
              <w:rPr>
                <w:noProof/>
                <w:webHidden/>
              </w:rPr>
              <w:fldChar w:fldCharType="separate"/>
            </w:r>
            <w:r w:rsidR="009A375C">
              <w:rPr>
                <w:noProof/>
                <w:webHidden/>
              </w:rPr>
              <w:t>7</w:t>
            </w:r>
            <w:r w:rsidR="009D2660" w:rsidRPr="00810F85">
              <w:rPr>
                <w:noProof/>
                <w:webHidden/>
              </w:rPr>
              <w:fldChar w:fldCharType="end"/>
            </w:r>
          </w:hyperlink>
        </w:p>
        <w:p w14:paraId="61666CFC" w14:textId="77777777" w:rsidR="009D2660" w:rsidRPr="00810F85" w:rsidRDefault="00E47704">
          <w:pPr>
            <w:pStyle w:val="TDC2"/>
            <w:tabs>
              <w:tab w:val="left" w:pos="960"/>
              <w:tab w:val="right" w:leader="dot" w:pos="8828"/>
            </w:tabs>
            <w:rPr>
              <w:rFonts w:eastAsiaTheme="minorEastAsia"/>
              <w:noProof/>
              <w:color w:val="auto"/>
              <w:lang w:eastAsia="ja-JP"/>
            </w:rPr>
          </w:pPr>
          <w:hyperlink w:anchor="_Toc530596784" w:history="1">
            <w:r w:rsidR="009D2660" w:rsidRPr="00810F85">
              <w:rPr>
                <w:rStyle w:val="Hipervnculo"/>
                <w:b/>
                <w:noProof/>
              </w:rPr>
              <w:t>3.4.</w:t>
            </w:r>
            <w:r w:rsidR="009D2660" w:rsidRPr="00810F85">
              <w:rPr>
                <w:rFonts w:eastAsiaTheme="minorEastAsia"/>
                <w:noProof/>
                <w:color w:val="auto"/>
                <w:lang w:eastAsia="ja-JP"/>
              </w:rPr>
              <w:tab/>
            </w:r>
            <w:r w:rsidR="009D2660" w:rsidRPr="00810F85">
              <w:rPr>
                <w:rStyle w:val="Hipervnculo"/>
                <w:b/>
                <w:noProof/>
              </w:rPr>
              <w:t>¿Cómo se paga el Impuesto Territorial?</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_Toc530596784 \h </w:instrText>
            </w:r>
            <w:r w:rsidR="009D2660" w:rsidRPr="00810F85">
              <w:rPr>
                <w:noProof/>
                <w:webHidden/>
              </w:rPr>
            </w:r>
            <w:r w:rsidR="009D2660" w:rsidRPr="00810F85">
              <w:rPr>
                <w:noProof/>
                <w:webHidden/>
              </w:rPr>
              <w:fldChar w:fldCharType="separate"/>
            </w:r>
            <w:r w:rsidR="009A375C">
              <w:rPr>
                <w:noProof/>
                <w:webHidden/>
              </w:rPr>
              <w:t>10</w:t>
            </w:r>
            <w:r w:rsidR="009D2660" w:rsidRPr="00810F85">
              <w:rPr>
                <w:noProof/>
                <w:webHidden/>
              </w:rPr>
              <w:fldChar w:fldCharType="end"/>
            </w:r>
          </w:hyperlink>
        </w:p>
        <w:p w14:paraId="316FEE84" w14:textId="77777777" w:rsidR="009D2660" w:rsidRPr="00810F85" w:rsidRDefault="00E47704">
          <w:pPr>
            <w:pStyle w:val="TDC2"/>
            <w:tabs>
              <w:tab w:val="left" w:pos="960"/>
              <w:tab w:val="right" w:leader="dot" w:pos="8828"/>
            </w:tabs>
            <w:rPr>
              <w:rFonts w:eastAsiaTheme="minorEastAsia"/>
              <w:noProof/>
              <w:color w:val="auto"/>
              <w:lang w:eastAsia="ja-JP"/>
            </w:rPr>
          </w:pPr>
          <w:hyperlink w:anchor="_Toc530596785" w:history="1">
            <w:r w:rsidR="009D2660" w:rsidRPr="00810F85">
              <w:rPr>
                <w:rStyle w:val="Hipervnculo"/>
                <w:b/>
                <w:noProof/>
              </w:rPr>
              <w:t>1.1.</w:t>
            </w:r>
            <w:r w:rsidR="009D2660" w:rsidRPr="00810F85">
              <w:rPr>
                <w:rFonts w:eastAsiaTheme="minorEastAsia"/>
                <w:noProof/>
                <w:color w:val="auto"/>
                <w:lang w:eastAsia="ja-JP"/>
              </w:rPr>
              <w:tab/>
            </w:r>
            <w:r w:rsidR="009D2660" w:rsidRPr="00810F85">
              <w:rPr>
                <w:rStyle w:val="Hipervnculo"/>
                <w:b/>
                <w:noProof/>
              </w:rPr>
              <w:t>¿Qué es el SINIM?</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_Toc530596785 \h </w:instrText>
            </w:r>
            <w:r w:rsidR="009D2660" w:rsidRPr="00810F85">
              <w:rPr>
                <w:noProof/>
                <w:webHidden/>
              </w:rPr>
            </w:r>
            <w:r w:rsidR="009D2660" w:rsidRPr="00810F85">
              <w:rPr>
                <w:noProof/>
                <w:webHidden/>
              </w:rPr>
              <w:fldChar w:fldCharType="separate"/>
            </w:r>
            <w:r w:rsidR="009A375C">
              <w:rPr>
                <w:noProof/>
                <w:webHidden/>
              </w:rPr>
              <w:t>11</w:t>
            </w:r>
            <w:r w:rsidR="009D2660" w:rsidRPr="00810F85">
              <w:rPr>
                <w:noProof/>
                <w:webHidden/>
              </w:rPr>
              <w:fldChar w:fldCharType="end"/>
            </w:r>
          </w:hyperlink>
        </w:p>
        <w:p w14:paraId="2E1E182B" w14:textId="77777777" w:rsidR="009D2660" w:rsidRPr="00810F85" w:rsidRDefault="00E47704">
          <w:pPr>
            <w:pStyle w:val="TDC1"/>
            <w:tabs>
              <w:tab w:val="left" w:pos="480"/>
              <w:tab w:val="right" w:leader="dot" w:pos="8828"/>
            </w:tabs>
            <w:rPr>
              <w:rFonts w:eastAsiaTheme="minorEastAsia"/>
              <w:noProof/>
              <w:color w:val="auto"/>
              <w:lang w:eastAsia="ja-JP"/>
            </w:rPr>
          </w:pPr>
          <w:hyperlink w:anchor="_Toc530596786" w:history="1">
            <w:r w:rsidR="009D2660" w:rsidRPr="00810F85">
              <w:rPr>
                <w:rStyle w:val="Hipervnculo"/>
                <w:noProof/>
              </w:rPr>
              <w:t>4.</w:t>
            </w:r>
            <w:r w:rsidR="009D2660" w:rsidRPr="00810F85">
              <w:rPr>
                <w:rFonts w:eastAsiaTheme="minorEastAsia"/>
                <w:noProof/>
                <w:color w:val="auto"/>
                <w:lang w:eastAsia="ja-JP"/>
              </w:rPr>
              <w:tab/>
            </w:r>
            <w:r w:rsidR="009D2660" w:rsidRPr="00810F85">
              <w:rPr>
                <w:rStyle w:val="Hipervnculo"/>
                <w:noProof/>
              </w:rPr>
              <w:t>DISEÑO METODOLÓGICO PRELIMINAR</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_Toc530596786 \h </w:instrText>
            </w:r>
            <w:r w:rsidR="009D2660" w:rsidRPr="00810F85">
              <w:rPr>
                <w:noProof/>
                <w:webHidden/>
              </w:rPr>
            </w:r>
            <w:r w:rsidR="009D2660" w:rsidRPr="00810F85">
              <w:rPr>
                <w:noProof/>
                <w:webHidden/>
              </w:rPr>
              <w:fldChar w:fldCharType="separate"/>
            </w:r>
            <w:r w:rsidR="009A375C">
              <w:rPr>
                <w:noProof/>
                <w:webHidden/>
              </w:rPr>
              <w:t>11</w:t>
            </w:r>
            <w:r w:rsidR="009D2660" w:rsidRPr="00810F85">
              <w:rPr>
                <w:noProof/>
                <w:webHidden/>
              </w:rPr>
              <w:fldChar w:fldCharType="end"/>
            </w:r>
          </w:hyperlink>
        </w:p>
        <w:p w14:paraId="5391F7C5" w14:textId="77777777" w:rsidR="009D2660" w:rsidRPr="00810F85" w:rsidRDefault="00E47704">
          <w:pPr>
            <w:pStyle w:val="TDC1"/>
            <w:tabs>
              <w:tab w:val="left" w:pos="480"/>
              <w:tab w:val="right" w:leader="dot" w:pos="8828"/>
            </w:tabs>
            <w:rPr>
              <w:rFonts w:eastAsiaTheme="minorEastAsia"/>
              <w:noProof/>
              <w:color w:val="auto"/>
              <w:lang w:eastAsia="ja-JP"/>
            </w:rPr>
          </w:pPr>
          <w:hyperlink w:anchor="_Toc530596787" w:history="1">
            <w:r w:rsidR="009D2660" w:rsidRPr="00810F85">
              <w:rPr>
                <w:rStyle w:val="Hipervnculo"/>
                <w:noProof/>
              </w:rPr>
              <w:t>5.</w:t>
            </w:r>
            <w:r w:rsidR="009D2660" w:rsidRPr="00810F85">
              <w:rPr>
                <w:rFonts w:eastAsiaTheme="minorEastAsia"/>
                <w:noProof/>
                <w:color w:val="auto"/>
                <w:lang w:eastAsia="ja-JP"/>
              </w:rPr>
              <w:tab/>
            </w:r>
            <w:r w:rsidR="009D2660" w:rsidRPr="00810F85">
              <w:rPr>
                <w:rStyle w:val="Hipervnculo"/>
                <w:noProof/>
              </w:rPr>
              <w:t>RESULTADOS</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_Toc530596787 \h </w:instrText>
            </w:r>
            <w:r w:rsidR="009D2660" w:rsidRPr="00810F85">
              <w:rPr>
                <w:noProof/>
                <w:webHidden/>
              </w:rPr>
            </w:r>
            <w:r w:rsidR="009D2660" w:rsidRPr="00810F85">
              <w:rPr>
                <w:noProof/>
                <w:webHidden/>
              </w:rPr>
              <w:fldChar w:fldCharType="separate"/>
            </w:r>
            <w:r w:rsidR="009A375C">
              <w:rPr>
                <w:noProof/>
                <w:webHidden/>
              </w:rPr>
              <w:t>13</w:t>
            </w:r>
            <w:r w:rsidR="009D2660" w:rsidRPr="00810F85">
              <w:rPr>
                <w:noProof/>
                <w:webHidden/>
              </w:rPr>
              <w:fldChar w:fldCharType="end"/>
            </w:r>
          </w:hyperlink>
        </w:p>
        <w:p w14:paraId="21DB2BB7" w14:textId="77777777" w:rsidR="009D2660" w:rsidRPr="00810F85" w:rsidRDefault="00E47704">
          <w:pPr>
            <w:pStyle w:val="TDC1"/>
            <w:tabs>
              <w:tab w:val="left" w:pos="480"/>
              <w:tab w:val="right" w:leader="dot" w:pos="8828"/>
            </w:tabs>
            <w:rPr>
              <w:rFonts w:eastAsiaTheme="minorEastAsia"/>
              <w:noProof/>
              <w:color w:val="auto"/>
              <w:lang w:eastAsia="ja-JP"/>
            </w:rPr>
          </w:pPr>
          <w:hyperlink w:anchor="_Toc530596788" w:history="1">
            <w:r w:rsidR="009D2660" w:rsidRPr="00810F85">
              <w:rPr>
                <w:rStyle w:val="Hipervnculo"/>
                <w:noProof/>
              </w:rPr>
              <w:t>6.</w:t>
            </w:r>
            <w:r w:rsidR="009D2660" w:rsidRPr="00810F85">
              <w:rPr>
                <w:rFonts w:eastAsiaTheme="minorEastAsia"/>
                <w:noProof/>
                <w:color w:val="auto"/>
                <w:lang w:eastAsia="ja-JP"/>
              </w:rPr>
              <w:tab/>
            </w:r>
            <w:r w:rsidR="009D2660" w:rsidRPr="00810F85">
              <w:rPr>
                <w:rStyle w:val="Hipervnculo"/>
                <w:noProof/>
              </w:rPr>
              <w:t>ANÁLISIS Y RECOMENDACIONES</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_Toc530596788 \h </w:instrText>
            </w:r>
            <w:r w:rsidR="009D2660" w:rsidRPr="00810F85">
              <w:rPr>
                <w:noProof/>
                <w:webHidden/>
              </w:rPr>
            </w:r>
            <w:r w:rsidR="009D2660" w:rsidRPr="00810F85">
              <w:rPr>
                <w:noProof/>
                <w:webHidden/>
              </w:rPr>
              <w:fldChar w:fldCharType="separate"/>
            </w:r>
            <w:r w:rsidR="009A375C">
              <w:rPr>
                <w:noProof/>
                <w:webHidden/>
              </w:rPr>
              <w:t>14</w:t>
            </w:r>
            <w:r w:rsidR="009D2660" w:rsidRPr="00810F85">
              <w:rPr>
                <w:noProof/>
                <w:webHidden/>
              </w:rPr>
              <w:fldChar w:fldCharType="end"/>
            </w:r>
          </w:hyperlink>
        </w:p>
        <w:p w14:paraId="7028DB94" w14:textId="77777777" w:rsidR="009D2660" w:rsidRPr="00810F85" w:rsidRDefault="00E47704">
          <w:pPr>
            <w:pStyle w:val="TDC1"/>
            <w:tabs>
              <w:tab w:val="left" w:pos="480"/>
              <w:tab w:val="right" w:leader="dot" w:pos="8828"/>
            </w:tabs>
            <w:rPr>
              <w:rFonts w:eastAsiaTheme="minorEastAsia"/>
              <w:noProof/>
              <w:color w:val="auto"/>
              <w:lang w:eastAsia="ja-JP"/>
            </w:rPr>
          </w:pPr>
          <w:hyperlink w:anchor="_Toc530596789" w:history="1">
            <w:r w:rsidR="009D2660" w:rsidRPr="00810F85">
              <w:rPr>
                <w:rStyle w:val="Hipervnculo"/>
                <w:noProof/>
              </w:rPr>
              <w:t>7.</w:t>
            </w:r>
            <w:r w:rsidR="009D2660" w:rsidRPr="00810F85">
              <w:rPr>
                <w:rFonts w:eastAsiaTheme="minorEastAsia"/>
                <w:noProof/>
                <w:color w:val="auto"/>
                <w:lang w:eastAsia="ja-JP"/>
              </w:rPr>
              <w:tab/>
            </w:r>
            <w:r w:rsidR="009D2660" w:rsidRPr="00810F85">
              <w:rPr>
                <w:rStyle w:val="Hipervnculo"/>
                <w:noProof/>
              </w:rPr>
              <w:t>REFERENCIAS BIBLIOGRÁFICAS</w:t>
            </w:r>
            <w:r w:rsidR="009D2660" w:rsidRPr="00810F85">
              <w:rPr>
                <w:noProof/>
                <w:webHidden/>
              </w:rPr>
              <w:tab/>
            </w:r>
            <w:r w:rsidR="009D2660" w:rsidRPr="00810F85">
              <w:rPr>
                <w:noProof/>
                <w:webHidden/>
              </w:rPr>
              <w:fldChar w:fldCharType="begin"/>
            </w:r>
            <w:r w:rsidR="009D2660" w:rsidRPr="00810F85">
              <w:rPr>
                <w:noProof/>
                <w:webHidden/>
              </w:rPr>
              <w:instrText xml:space="preserve"> PAGEREF _Toc530596789 \h </w:instrText>
            </w:r>
            <w:r w:rsidR="009D2660" w:rsidRPr="00810F85">
              <w:rPr>
                <w:noProof/>
                <w:webHidden/>
              </w:rPr>
            </w:r>
            <w:r w:rsidR="009D2660" w:rsidRPr="00810F85">
              <w:rPr>
                <w:noProof/>
                <w:webHidden/>
              </w:rPr>
              <w:fldChar w:fldCharType="separate"/>
            </w:r>
            <w:r w:rsidR="009A375C">
              <w:rPr>
                <w:noProof/>
                <w:webHidden/>
              </w:rPr>
              <w:t>16</w:t>
            </w:r>
            <w:r w:rsidR="009D2660" w:rsidRPr="00810F85">
              <w:rPr>
                <w:noProof/>
                <w:webHidden/>
              </w:rPr>
              <w:fldChar w:fldCharType="end"/>
            </w:r>
          </w:hyperlink>
        </w:p>
        <w:p w14:paraId="6A7C9D45" w14:textId="77777777" w:rsidR="0084007E" w:rsidRPr="00810F85" w:rsidRDefault="00ED4349">
          <w:r w:rsidRPr="00810F85">
            <w:rPr>
              <w:b/>
              <w:bCs/>
              <w:lang w:val="es-ES"/>
            </w:rPr>
            <w:fldChar w:fldCharType="end"/>
          </w:r>
        </w:p>
      </w:sdtContent>
    </w:sdt>
    <w:p w14:paraId="49AA5E78" w14:textId="77777777" w:rsidR="0084007E" w:rsidRPr="00810F85" w:rsidRDefault="0084007E">
      <w:pPr>
        <w:spacing w:after="200"/>
        <w:rPr>
          <w:rFonts w:eastAsiaTheme="majorEastAsia"/>
          <w:b/>
          <w:bCs/>
          <w:color w:val="auto"/>
        </w:rPr>
      </w:pPr>
      <w:r w:rsidRPr="00810F85">
        <w:rPr>
          <w:color w:val="auto"/>
        </w:rPr>
        <w:br w:type="page"/>
      </w:r>
    </w:p>
    <w:p w14:paraId="27F70BD8" w14:textId="77777777" w:rsidR="001F6E10" w:rsidRPr="00810F85" w:rsidRDefault="001F6E10" w:rsidP="0052143A">
      <w:pPr>
        <w:pStyle w:val="Ttulo1"/>
        <w:numPr>
          <w:ilvl w:val="0"/>
          <w:numId w:val="1"/>
        </w:numPr>
        <w:rPr>
          <w:rFonts w:ascii="Arial" w:hAnsi="Arial" w:cs="Arial"/>
          <w:color w:val="auto"/>
          <w:sz w:val="22"/>
          <w:szCs w:val="22"/>
        </w:rPr>
      </w:pPr>
      <w:bookmarkStart w:id="0" w:name="_Toc530596776"/>
      <w:r w:rsidRPr="00810F85">
        <w:rPr>
          <w:rFonts w:ascii="Arial" w:hAnsi="Arial" w:cs="Arial"/>
          <w:color w:val="auto"/>
          <w:sz w:val="22"/>
          <w:szCs w:val="22"/>
        </w:rPr>
        <w:lastRenderedPageBreak/>
        <w:t>ANTECEDENTES</w:t>
      </w:r>
      <w:bookmarkEnd w:id="0"/>
    </w:p>
    <w:p w14:paraId="4B8E26AC" w14:textId="77777777" w:rsidR="001F6E10" w:rsidRPr="00810F85" w:rsidRDefault="001F6E10" w:rsidP="001F6E10"/>
    <w:p w14:paraId="276E8015" w14:textId="77777777" w:rsidR="00636B3A" w:rsidRPr="00810F85" w:rsidRDefault="00636B3A" w:rsidP="00636B3A">
      <w:pPr>
        <w:spacing w:line="240" w:lineRule="auto"/>
        <w:jc w:val="both"/>
        <w:rPr>
          <w:rFonts w:eastAsia="Calibri"/>
          <w:shd w:val="clear" w:color="auto" w:fill="38761D"/>
        </w:rPr>
      </w:pPr>
      <w:r w:rsidRPr="00810F85">
        <w:rPr>
          <w:rFonts w:eastAsia="Calibri"/>
        </w:rPr>
        <w:t xml:space="preserve">En 1979, Chile implementó un mecanismo de igualación para reducir las disparidades fiscales intermunicipales, proporcionando recursos adicionales para los municipios más vulnerables: el Fondo Común Municipal (FCM), que es esencialmente un sistema de “compensación”, basada en la redistribución horizontal de los recursos en entre los municipios. Estos recursos provienen de contribuciones automáticas de los municipios a través de la transferencia de una parte de sus ingresos fiscales. Gracias a esto, el FCM se ha convertido en una parte crucial de la financiación municipal, representando el 29% de los ingresos totales del sector municipal </w:t>
      </w:r>
      <w:sdt>
        <w:sdtPr>
          <w:rPr>
            <w:rFonts w:eastAsia="Calibri"/>
          </w:rPr>
          <w:id w:val="119270052"/>
          <w:citation/>
        </w:sdtPr>
        <w:sdtEndPr/>
        <w:sdtContent>
          <w:r w:rsidRPr="00810F85">
            <w:rPr>
              <w:rFonts w:eastAsia="Calibri"/>
            </w:rPr>
            <w:fldChar w:fldCharType="begin"/>
          </w:r>
          <w:r w:rsidRPr="00810F85">
            <w:rPr>
              <w:rFonts w:eastAsia="Calibri"/>
            </w:rPr>
            <w:instrText xml:space="preserve"> CITATION Bra141 \l 13322 </w:instrText>
          </w:r>
          <w:r w:rsidRPr="00810F85">
            <w:rPr>
              <w:rFonts w:eastAsia="Calibri"/>
            </w:rPr>
            <w:fldChar w:fldCharType="separate"/>
          </w:r>
          <w:r w:rsidR="00A06373" w:rsidRPr="00810F85">
            <w:rPr>
              <w:rFonts w:eastAsia="Calibri"/>
              <w:noProof/>
            </w:rPr>
            <w:t>(Bravo, Javiera, 2014)</w:t>
          </w:r>
          <w:r w:rsidRPr="00810F85">
            <w:rPr>
              <w:rFonts w:eastAsia="Calibri"/>
            </w:rPr>
            <w:fldChar w:fldCharType="end"/>
          </w:r>
        </w:sdtContent>
      </w:sdt>
      <w:r w:rsidRPr="00810F85">
        <w:rPr>
          <w:rFonts w:eastAsia="Calibri"/>
        </w:rPr>
        <w:t>.</w:t>
      </w:r>
    </w:p>
    <w:p w14:paraId="5534792C" w14:textId="77777777" w:rsidR="00636B3A" w:rsidRPr="00810F85" w:rsidRDefault="00636B3A" w:rsidP="00636B3A">
      <w:pPr>
        <w:jc w:val="both"/>
      </w:pPr>
    </w:p>
    <w:p w14:paraId="59197B21" w14:textId="77777777" w:rsidR="00636B3A" w:rsidRPr="00810F85" w:rsidRDefault="00636B3A" w:rsidP="00636B3A">
      <w:pPr>
        <w:spacing w:line="240" w:lineRule="auto"/>
        <w:jc w:val="both"/>
        <w:rPr>
          <w:rFonts w:eastAsia="Calibri"/>
        </w:rPr>
      </w:pPr>
      <w:r w:rsidRPr="00810F85">
        <w:rPr>
          <w:rFonts w:eastAsia="Calibri"/>
        </w:rPr>
        <w:t>El FCM es un mecanismo de igualación horizontal que es laudable a la luz del principio de la solidaridad y la justicia redistributiva, beneficiando a los municipios más desfavorecidos en términos de ingresos fiscales y/o restricciones demográficas, geográficas y climáticas. Varios estudios confirman el carácter redistributivo del FCM y su eficacia en el logro de la meta de reducción de las desigualdades entre municipios</w:t>
      </w:r>
      <w:sdt>
        <w:sdtPr>
          <w:rPr>
            <w:rFonts w:eastAsia="Calibri"/>
          </w:rPr>
          <w:id w:val="-1521845160"/>
          <w:citation/>
        </w:sdtPr>
        <w:sdtEndPr/>
        <w:sdtContent>
          <w:r w:rsidRPr="00810F85">
            <w:rPr>
              <w:rFonts w:eastAsia="Calibri"/>
            </w:rPr>
            <w:fldChar w:fldCharType="begin"/>
          </w:r>
          <w:r w:rsidRPr="00810F85">
            <w:rPr>
              <w:rFonts w:eastAsia="Calibri"/>
            </w:rPr>
            <w:instrText xml:space="preserve"> CITATION Bra141 \l 13322 </w:instrText>
          </w:r>
          <w:r w:rsidRPr="00810F85">
            <w:rPr>
              <w:rFonts w:eastAsia="Calibri"/>
            </w:rPr>
            <w:fldChar w:fldCharType="separate"/>
          </w:r>
          <w:r w:rsidR="00A06373" w:rsidRPr="00810F85">
            <w:rPr>
              <w:rFonts w:eastAsia="Calibri"/>
              <w:noProof/>
            </w:rPr>
            <w:t xml:space="preserve"> (Bravo, Javiera, 2014)</w:t>
          </w:r>
          <w:r w:rsidRPr="00810F85">
            <w:rPr>
              <w:rFonts w:eastAsia="Calibri"/>
            </w:rPr>
            <w:fldChar w:fldCharType="end"/>
          </w:r>
        </w:sdtContent>
      </w:sdt>
      <w:r w:rsidRPr="00810F85">
        <w:rPr>
          <w:rFonts w:eastAsia="Calibri"/>
        </w:rPr>
        <w:t>. Sin embargo, y de igual importancia, el FCM ha demostrado su ineficiencia en términos de “solidaridad”, como también ha tenido algunos efectos contraproducentes en el desarrollo local y regional. Se señala que el sistema debe ser revisado y complementado por otros mecanismos de compensación, combinando los principios de solidaridad y equidad con la mejora de la eficiencia económica (por ejemplo, la modificación de las reglas de asignación, ecualización vertical y enfoque regionalizado)</w:t>
      </w:r>
      <w:sdt>
        <w:sdtPr>
          <w:rPr>
            <w:rFonts w:eastAsia="Calibri"/>
          </w:rPr>
          <w:id w:val="369803245"/>
          <w:citation/>
        </w:sdtPr>
        <w:sdtEndPr/>
        <w:sdtContent>
          <w:r w:rsidRPr="00810F85">
            <w:rPr>
              <w:rFonts w:eastAsia="Calibri"/>
            </w:rPr>
            <w:fldChar w:fldCharType="begin"/>
          </w:r>
          <w:r w:rsidRPr="00810F85">
            <w:rPr>
              <w:rFonts w:eastAsia="Calibri"/>
            </w:rPr>
            <w:instrText xml:space="preserve"> CITATION OEC171 \l 13322 </w:instrText>
          </w:r>
          <w:r w:rsidRPr="00810F85">
            <w:rPr>
              <w:rFonts w:eastAsia="Calibri"/>
            </w:rPr>
            <w:fldChar w:fldCharType="separate"/>
          </w:r>
          <w:r w:rsidR="00A06373" w:rsidRPr="00810F85">
            <w:rPr>
              <w:rFonts w:eastAsia="Calibri"/>
              <w:noProof/>
            </w:rPr>
            <w:t xml:space="preserve"> (OECD, 2017)</w:t>
          </w:r>
          <w:r w:rsidRPr="00810F85">
            <w:rPr>
              <w:rFonts w:eastAsia="Calibri"/>
            </w:rPr>
            <w:fldChar w:fldCharType="end"/>
          </w:r>
        </w:sdtContent>
      </w:sdt>
      <w:r w:rsidRPr="00810F85">
        <w:rPr>
          <w:rFonts w:eastAsia="Calibri"/>
        </w:rPr>
        <w:t>.</w:t>
      </w:r>
    </w:p>
    <w:p w14:paraId="41957B47" w14:textId="77777777" w:rsidR="00636B3A" w:rsidRPr="00810F85" w:rsidRDefault="00636B3A" w:rsidP="00636B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olor w:val="212121"/>
        </w:rPr>
      </w:pPr>
    </w:p>
    <w:p w14:paraId="1EA727EA" w14:textId="77777777" w:rsidR="00636B3A" w:rsidRPr="00810F85" w:rsidRDefault="00636B3A" w:rsidP="00636B3A">
      <w:pPr>
        <w:spacing w:line="240" w:lineRule="auto"/>
        <w:jc w:val="both"/>
        <w:rPr>
          <w:rFonts w:eastAsia="Calibri"/>
          <w:color w:val="212121"/>
        </w:rPr>
      </w:pPr>
      <w:r w:rsidRPr="00810F85">
        <w:rPr>
          <w:rFonts w:eastAsia="Calibri"/>
          <w:color w:val="212121"/>
        </w:rPr>
        <w:t>Al respecto, y en cuanto a mejorar la eficiencia económica, la pregunta básica hace referencia a la definición precisa del alcance de los recursos del FCM cubiertos por el potencial fiscal y financiero. El indicador estará sesgado siempre que los recursos no estén definidos en su totalidad. El riesgo de que esto ocurra es alto para los ingresos atípicos</w:t>
      </w:r>
      <w:r w:rsidRPr="00810F85">
        <w:rPr>
          <w:rFonts w:eastAsia="Calibri"/>
          <w:color w:val="212121"/>
          <w:vertAlign w:val="superscript"/>
        </w:rPr>
        <w:footnoteReference w:id="1"/>
      </w:r>
      <w:r w:rsidR="001A5C1E" w:rsidRPr="00810F85">
        <w:rPr>
          <w:rFonts w:eastAsia="Calibri"/>
          <w:color w:val="212121"/>
        </w:rPr>
        <w:t xml:space="preserve"> </w:t>
      </w:r>
      <w:r w:rsidRPr="00810F85">
        <w:rPr>
          <w:rFonts w:eastAsia="Calibri"/>
          <w:color w:val="212121"/>
        </w:rPr>
        <w:t xml:space="preserve">que solo se aplican a unos pocos municipios. Su nivel real está subestimado por la falta de integración de estos recursos en la evaluación del potencial financiero, lo que es ventajoso para estos municipios, porque parecerían más pobres de lo que realmente son.  Es por esto por lo que el FCM se protege de las críticas mediante la integración de recursos como casinos o licencias comerciales (minería, acuicultura) en el cálculo de los ingresos propios permanentes, que es el indicador de riqueza nominal del FCM </w:t>
      </w:r>
      <w:sdt>
        <w:sdtPr>
          <w:rPr>
            <w:rFonts w:eastAsia="Calibri"/>
            <w:color w:val="212121"/>
          </w:rPr>
          <w:id w:val="-322742047"/>
          <w:citation/>
        </w:sdtPr>
        <w:sdtEndPr/>
        <w:sdtContent>
          <w:r w:rsidRPr="00810F85">
            <w:rPr>
              <w:rFonts w:eastAsia="Calibri"/>
              <w:color w:val="212121"/>
            </w:rPr>
            <w:fldChar w:fldCharType="begin"/>
          </w:r>
          <w:r w:rsidRPr="00810F85">
            <w:rPr>
              <w:rFonts w:eastAsia="Calibri"/>
              <w:color w:val="212121"/>
            </w:rPr>
            <w:instrText xml:space="preserve"> CITATION OEC171 \l 13322 </w:instrText>
          </w:r>
          <w:r w:rsidRPr="00810F85">
            <w:rPr>
              <w:rFonts w:eastAsia="Calibri"/>
              <w:color w:val="212121"/>
            </w:rPr>
            <w:fldChar w:fldCharType="separate"/>
          </w:r>
          <w:r w:rsidR="00A06373" w:rsidRPr="00810F85">
            <w:rPr>
              <w:rFonts w:eastAsia="Calibri"/>
              <w:noProof/>
              <w:color w:val="212121"/>
            </w:rPr>
            <w:t>(OECD, 2017)</w:t>
          </w:r>
          <w:r w:rsidRPr="00810F85">
            <w:rPr>
              <w:rFonts w:eastAsia="Calibri"/>
              <w:color w:val="212121"/>
            </w:rPr>
            <w:fldChar w:fldCharType="end"/>
          </w:r>
        </w:sdtContent>
      </w:sdt>
      <w:r w:rsidRPr="00810F85">
        <w:rPr>
          <w:rFonts w:eastAsia="Calibri"/>
          <w:color w:val="212121"/>
        </w:rPr>
        <w:t>.</w:t>
      </w:r>
    </w:p>
    <w:p w14:paraId="0DB2FCAD" w14:textId="77777777" w:rsidR="00636B3A" w:rsidRPr="00810F85" w:rsidRDefault="00636B3A" w:rsidP="00636B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color w:val="212121"/>
        </w:rPr>
      </w:pPr>
    </w:p>
    <w:p w14:paraId="269422F6" w14:textId="77777777" w:rsidR="00636B3A" w:rsidRPr="00810F85" w:rsidRDefault="00636B3A" w:rsidP="00636B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rPr>
      </w:pPr>
      <w:r w:rsidRPr="00810F85">
        <w:rPr>
          <w:rFonts w:eastAsia="Calibri"/>
        </w:rPr>
        <w:t>A pesar de estas deficiencias y limitaciones, el FCM debe preservarse y fortalecerse, pero también debe renovarse y completarse para combinar principios de solidaridad y equidad, así como de eficienc</w:t>
      </w:r>
      <w:r w:rsidR="009D2610" w:rsidRPr="00810F85">
        <w:rPr>
          <w:rFonts w:eastAsia="Calibri"/>
        </w:rPr>
        <w:t>ia económica. Para reorientar el</w:t>
      </w:r>
      <w:r w:rsidRPr="00810F85">
        <w:rPr>
          <w:rFonts w:eastAsia="Calibri"/>
        </w:rPr>
        <w:t xml:space="preserve"> FCM hacia los principios y métodos de equidad territorial, se deben explorar varias avenidas. Una forma de reforma sería ampliar la base de las contribuciones municipales, hacerla menos selectiva y evaluar mejor la riqueza municipal para determinar la contribución y los niveles de beneficios </w:t>
      </w:r>
      <w:sdt>
        <w:sdtPr>
          <w:rPr>
            <w:rFonts w:eastAsia="Calibri"/>
          </w:rPr>
          <w:id w:val="679242695"/>
          <w:citation/>
        </w:sdtPr>
        <w:sdtEndPr/>
        <w:sdtContent>
          <w:r w:rsidRPr="00810F85">
            <w:rPr>
              <w:rFonts w:eastAsia="Calibri"/>
            </w:rPr>
            <w:fldChar w:fldCharType="begin"/>
          </w:r>
          <w:r w:rsidRPr="00810F85">
            <w:rPr>
              <w:rFonts w:eastAsia="Calibri"/>
            </w:rPr>
            <w:instrText xml:space="preserve"> CITATION OEC171 \l 13322 </w:instrText>
          </w:r>
          <w:r w:rsidRPr="00810F85">
            <w:rPr>
              <w:rFonts w:eastAsia="Calibri"/>
            </w:rPr>
            <w:fldChar w:fldCharType="separate"/>
          </w:r>
          <w:r w:rsidR="00A06373" w:rsidRPr="00810F85">
            <w:rPr>
              <w:rFonts w:eastAsia="Calibri"/>
              <w:noProof/>
            </w:rPr>
            <w:t>(OECD, 2017)</w:t>
          </w:r>
          <w:r w:rsidRPr="00810F85">
            <w:rPr>
              <w:rFonts w:eastAsia="Calibri"/>
            </w:rPr>
            <w:fldChar w:fldCharType="end"/>
          </w:r>
        </w:sdtContent>
      </w:sdt>
      <w:r w:rsidRPr="00810F85">
        <w:rPr>
          <w:rFonts w:eastAsia="Calibri"/>
        </w:rPr>
        <w:t>.</w:t>
      </w:r>
    </w:p>
    <w:p w14:paraId="1C0DEDFE" w14:textId="77777777" w:rsidR="00636B3A" w:rsidRPr="00810F85" w:rsidRDefault="00636B3A" w:rsidP="00636B3A">
      <w:pPr>
        <w:jc w:val="both"/>
      </w:pPr>
    </w:p>
    <w:p w14:paraId="5D6FECB5" w14:textId="77777777" w:rsidR="00636B3A" w:rsidRPr="00810F85" w:rsidRDefault="00636B3A" w:rsidP="00636B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rPr>
      </w:pPr>
      <w:r w:rsidRPr="00810F85">
        <w:rPr>
          <w:rFonts w:eastAsia="Calibri"/>
        </w:rPr>
        <w:t xml:space="preserve">Al respecto, el informe de OECD del 2017 entrega algunas recomendaciones clave para reformar los mecanismos de igualación, entre ellos, como una estrategia a corto plazo, propone modificar las reglas de asignación del FCM, en relación con la medida de las </w:t>
      </w:r>
      <w:r w:rsidRPr="00810F85">
        <w:rPr>
          <w:rFonts w:eastAsia="Calibri"/>
        </w:rPr>
        <w:lastRenderedPageBreak/>
        <w:t>desigualdades en términos de cargos, recursos y criterios de contribución, de la siguiente manera:</w:t>
      </w:r>
    </w:p>
    <w:p w14:paraId="29D8C7E1" w14:textId="77777777" w:rsidR="00636B3A" w:rsidRPr="00810F85" w:rsidRDefault="00636B3A" w:rsidP="00636B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rPr>
      </w:pPr>
    </w:p>
    <w:p w14:paraId="7C78BA55" w14:textId="77777777" w:rsidR="00636B3A" w:rsidRPr="00810F85" w:rsidRDefault="00636B3A" w:rsidP="0052143A">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810F85">
        <w:rPr>
          <w:rFonts w:eastAsia="Calibri"/>
        </w:rPr>
        <w:t>Identificando mejor las condiciones socioeconómicas sobre el terreno, en particular las cargas excesivas resultantes de condiciones desiguales, y definir los indicadores de referencia. Establecer un programa de investigación destinado a aumentar el conocimiento de los costos de la provisión de servicios municipales en diversos contextos (municipios urbanos, rurales, pequeños).</w:t>
      </w:r>
    </w:p>
    <w:p w14:paraId="3E91468A" w14:textId="77777777" w:rsidR="00636B3A" w:rsidRPr="00810F85" w:rsidRDefault="00636B3A" w:rsidP="0052143A">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810F85">
        <w:rPr>
          <w:rFonts w:eastAsia="Calibri"/>
        </w:rPr>
        <w:t xml:space="preserve">Cambiar de un enfoque metodológico basado en el "potencial impositivo nominal" a un enfoque basado en el "potencial financiero real". Es decir, estimar de mejor manera los recursos financieros disponibles y generar los mecanismos necesarios para su incorporación. </w:t>
      </w:r>
    </w:p>
    <w:p w14:paraId="664BF91E" w14:textId="77777777" w:rsidR="00636B3A" w:rsidRPr="00810F85" w:rsidRDefault="00636B3A" w:rsidP="0052143A">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810F85">
        <w:rPr>
          <w:rFonts w:eastAsia="Calibri"/>
        </w:rPr>
        <w:t>Ampliar el número de municipios contribuyentes al diferenciar la tasa de contribución de acuerdo con los ingresos fiscales por habitante (impuesto territorial, licencias comerciales).</w:t>
      </w:r>
    </w:p>
    <w:p w14:paraId="0BA0DDB3" w14:textId="77777777" w:rsidR="00636B3A" w:rsidRPr="00810F85" w:rsidRDefault="00636B3A" w:rsidP="0052143A">
      <w:pPr>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810F85">
        <w:rPr>
          <w:rFonts w:eastAsia="Calibri"/>
        </w:rPr>
        <w:t>Incluir todos los impuestos municipales en la medición de la riqueza municipal como base de la contribución diferenciada al FCM.</w:t>
      </w:r>
    </w:p>
    <w:p w14:paraId="3565E1C9" w14:textId="77777777" w:rsidR="00636B3A" w:rsidRPr="00810F85" w:rsidRDefault="00636B3A" w:rsidP="00636B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rPr>
      </w:pPr>
    </w:p>
    <w:p w14:paraId="2093B9FB" w14:textId="77777777" w:rsidR="00636B3A" w:rsidRPr="00810F85" w:rsidRDefault="00636B3A" w:rsidP="00636B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rPr>
      </w:pPr>
      <w:r w:rsidRPr="00810F85">
        <w:rPr>
          <w:rFonts w:eastAsia="Calibri"/>
        </w:rPr>
        <w:t>En este sentido y acorde a la sugerencia del punto número tres, este estudio se pregunta: ¿Es posible aumentar la cuota de pago de los municipios para fortalecer los recursos financieros del FCM a corto plazo?, ¿quiénes deberían aumentar sus contribuciones y por qué?, ¿qué modificaciones deberían incluirse en la ley para que esto sucediera?, ¿cuáles serían los efectos de una modificación como esta?</w:t>
      </w:r>
    </w:p>
    <w:p w14:paraId="5E52A37B" w14:textId="77777777" w:rsidR="00636B3A" w:rsidRPr="00810F85" w:rsidRDefault="00636B3A" w:rsidP="00636B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rPr>
      </w:pPr>
    </w:p>
    <w:p w14:paraId="23568299" w14:textId="77777777" w:rsidR="00636B3A" w:rsidRPr="00810F85" w:rsidRDefault="00636B3A" w:rsidP="00636B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Calibri"/>
        </w:rPr>
      </w:pPr>
      <w:r w:rsidRPr="00810F85">
        <w:rPr>
          <w:rFonts w:eastAsia="Calibri"/>
        </w:rPr>
        <w:t>En este contexto este estudio se propone analizar los mecanismos por los cuales sería posible la incorporación de nuevas comunas contribuyentes al FCM y sus efectos en el corto plazo.</w:t>
      </w:r>
    </w:p>
    <w:p w14:paraId="48DCE40D" w14:textId="77777777" w:rsidR="00636B3A" w:rsidRPr="00810F85" w:rsidRDefault="00636B3A" w:rsidP="0084007E">
      <w:pPr>
        <w:jc w:val="both"/>
      </w:pPr>
    </w:p>
    <w:p w14:paraId="5D25909A" w14:textId="77777777" w:rsidR="004D6960" w:rsidRPr="00810F85" w:rsidRDefault="004D6960" w:rsidP="0084007E">
      <w:pPr>
        <w:jc w:val="both"/>
      </w:pPr>
    </w:p>
    <w:p w14:paraId="05294189" w14:textId="77777777" w:rsidR="004D6960" w:rsidRPr="00810F85" w:rsidRDefault="004D6960" w:rsidP="004D6960">
      <w:pPr>
        <w:jc w:val="both"/>
        <w:rPr>
          <w:color w:val="000000" w:themeColor="text1"/>
        </w:rPr>
      </w:pPr>
    </w:p>
    <w:p w14:paraId="1AC3D33A" w14:textId="77777777" w:rsidR="009D2610" w:rsidRPr="00810F85" w:rsidRDefault="004D6960" w:rsidP="004D6960">
      <w:pPr>
        <w:jc w:val="both"/>
        <w:rPr>
          <w:color w:val="000000" w:themeColor="text1"/>
        </w:rPr>
      </w:pPr>
      <w:r w:rsidRPr="00810F85">
        <w:rPr>
          <w:color w:val="000000" w:themeColor="text1"/>
        </w:rPr>
        <w:t>Primero, los resultados obtenidos en este trabajo van en línea con la política de</w:t>
      </w:r>
      <w:r w:rsidR="009D2610" w:rsidRPr="00810F85">
        <w:rPr>
          <w:color w:val="000000" w:themeColor="text1"/>
        </w:rPr>
        <w:t xml:space="preserve"> aumentar las transferencias vía</w:t>
      </w:r>
      <w:r w:rsidRPr="00810F85">
        <w:rPr>
          <w:color w:val="000000" w:themeColor="text1"/>
        </w:rPr>
        <w:t xml:space="preserve"> FCM, ya que no existiría evidencia que dicho aumento perjudique la generación de ingresos por gestión en la gran mayoría de los municipios</w:t>
      </w:r>
      <w:r w:rsidR="009D2610" w:rsidRPr="00810F85">
        <w:rPr>
          <w:color w:val="000000" w:themeColor="text1"/>
        </w:rPr>
        <w:t xml:space="preserve"> y además este Fondo si cumplirí</w:t>
      </w:r>
      <w:r w:rsidRPr="00810F85">
        <w:rPr>
          <w:color w:val="000000" w:themeColor="text1"/>
        </w:rPr>
        <w:t>a con el objetivo de redistribuir de manera solidaria a las comuna</w:t>
      </w:r>
      <w:r w:rsidR="009D2610" w:rsidRPr="00810F85">
        <w:rPr>
          <w:color w:val="000000" w:themeColor="text1"/>
        </w:rPr>
        <w:t xml:space="preserve">s con menos recursos. Asimismo </w:t>
      </w:r>
      <w:r w:rsidRPr="00810F85">
        <w:rPr>
          <w:color w:val="000000" w:themeColor="text1"/>
        </w:rPr>
        <w:t>com</w:t>
      </w:r>
      <w:r w:rsidR="009D2610" w:rsidRPr="00810F85">
        <w:rPr>
          <w:color w:val="000000" w:themeColor="text1"/>
        </w:rPr>
        <w:t>o  las  estimaciones según el mó</w:t>
      </w:r>
      <w:r w:rsidRPr="00810F85">
        <w:rPr>
          <w:color w:val="000000" w:themeColor="text1"/>
        </w:rPr>
        <w:t xml:space="preserve">delo propuesto en esta investigación, se obtiene cierta evidencia a favor de modificar el actual mecanismo de distribución del FCM, pudiendo ser una alternativa diseñar el mecanismo de tal forma que las comunas con mejor dotación de recursos (especialmente las del grupo 1) perciban menos transferencias por esta vía, en términos </w:t>
      </w:r>
      <w:r w:rsidR="00885EE6" w:rsidRPr="00810F85">
        <w:rPr>
          <w:color w:val="000000" w:themeColor="text1"/>
        </w:rPr>
        <w:t>concretos, el</w:t>
      </w:r>
      <w:r w:rsidR="009D2610" w:rsidRPr="00810F85">
        <w:rPr>
          <w:color w:val="000000" w:themeColor="text1"/>
        </w:rPr>
        <w:t xml:space="preserve"> tema del 25</w:t>
      </w:r>
      <w:r w:rsidRPr="00810F85">
        <w:rPr>
          <w:color w:val="000000" w:themeColor="text1"/>
        </w:rPr>
        <w:t xml:space="preserve">% del FCM que se reparte actualmente en partes iguales se pudiera distribuir mediante una ponderación distinta dependiendo a qué grupo pertenece cada </w:t>
      </w:r>
      <w:r w:rsidR="00885EE6" w:rsidRPr="00810F85">
        <w:rPr>
          <w:color w:val="000000" w:themeColor="text1"/>
        </w:rPr>
        <w:t xml:space="preserve">comuna. </w:t>
      </w:r>
    </w:p>
    <w:p w14:paraId="658B2339" w14:textId="77777777" w:rsidR="009D2610" w:rsidRPr="00810F85" w:rsidRDefault="009D2610" w:rsidP="004D6960">
      <w:pPr>
        <w:jc w:val="both"/>
        <w:rPr>
          <w:color w:val="000000" w:themeColor="text1"/>
        </w:rPr>
      </w:pPr>
    </w:p>
    <w:p w14:paraId="25D322AB" w14:textId="77777777" w:rsidR="009D2610" w:rsidRPr="00810F85" w:rsidRDefault="00885EE6" w:rsidP="004D6960">
      <w:pPr>
        <w:jc w:val="both"/>
        <w:rPr>
          <w:color w:val="000000" w:themeColor="text1"/>
        </w:rPr>
      </w:pPr>
      <w:r w:rsidRPr="00810F85">
        <w:rPr>
          <w:color w:val="000000" w:themeColor="text1"/>
        </w:rPr>
        <w:t>Segundo</w:t>
      </w:r>
      <w:r w:rsidR="004D6960" w:rsidRPr="00810F85">
        <w:rPr>
          <w:color w:val="000000" w:themeColor="text1"/>
        </w:rPr>
        <w:t>, bajo el actual sistema en que opera el FCM, para aumentar los recursos existen dos alternativas, no excluyentes entre sí:</w:t>
      </w:r>
    </w:p>
    <w:p w14:paraId="2FE5AF3F" w14:textId="77777777" w:rsidR="009D2610" w:rsidRPr="00810F85" w:rsidRDefault="009D2610" w:rsidP="004D6960">
      <w:pPr>
        <w:jc w:val="both"/>
        <w:rPr>
          <w:color w:val="000000" w:themeColor="text1"/>
        </w:rPr>
      </w:pPr>
    </w:p>
    <w:p w14:paraId="1980D569" w14:textId="77777777" w:rsidR="004D6960" w:rsidRPr="00810F85" w:rsidRDefault="004D6960" w:rsidP="0052143A">
      <w:pPr>
        <w:numPr>
          <w:ilvl w:val="0"/>
          <w:numId w:val="8"/>
        </w:numPr>
        <w:contextualSpacing/>
        <w:jc w:val="both"/>
        <w:rPr>
          <w:color w:val="000000" w:themeColor="text1"/>
        </w:rPr>
      </w:pPr>
      <w:r w:rsidRPr="00810F85">
        <w:rPr>
          <w:color w:val="000000" w:themeColor="text1"/>
        </w:rPr>
        <w:t xml:space="preserve">Mayor aporte del gobierno central </w:t>
      </w:r>
    </w:p>
    <w:p w14:paraId="7E87E898" w14:textId="77777777" w:rsidR="004D6960" w:rsidRPr="00810F85" w:rsidRDefault="004D6960" w:rsidP="0052143A">
      <w:pPr>
        <w:numPr>
          <w:ilvl w:val="0"/>
          <w:numId w:val="8"/>
        </w:numPr>
        <w:contextualSpacing/>
        <w:jc w:val="both"/>
        <w:rPr>
          <w:color w:val="000000" w:themeColor="text1"/>
        </w:rPr>
      </w:pPr>
      <w:r w:rsidRPr="00810F85">
        <w:rPr>
          <w:color w:val="000000" w:themeColor="text1"/>
        </w:rPr>
        <w:t xml:space="preserve">Mayor </w:t>
      </w:r>
      <w:r w:rsidR="00F36877" w:rsidRPr="00810F85">
        <w:rPr>
          <w:color w:val="000000" w:themeColor="text1"/>
        </w:rPr>
        <w:t>aporte por parte de las comunas con</w:t>
      </w:r>
      <w:r w:rsidRPr="00810F85">
        <w:rPr>
          <w:color w:val="000000" w:themeColor="text1"/>
        </w:rPr>
        <w:t xml:space="preserve"> mayores ingresos.</w:t>
      </w:r>
    </w:p>
    <w:p w14:paraId="3EF30C0D" w14:textId="77777777" w:rsidR="004D6960" w:rsidRPr="00810F85" w:rsidRDefault="004D6960" w:rsidP="004D6960">
      <w:pPr>
        <w:jc w:val="both"/>
        <w:rPr>
          <w:color w:val="000000" w:themeColor="text1"/>
        </w:rPr>
      </w:pPr>
    </w:p>
    <w:p w14:paraId="0D2219E1" w14:textId="77777777" w:rsidR="009D2610" w:rsidRPr="00810F85" w:rsidRDefault="004D6960" w:rsidP="004D6960">
      <w:pPr>
        <w:jc w:val="both"/>
        <w:rPr>
          <w:color w:val="000000" w:themeColor="text1"/>
        </w:rPr>
      </w:pPr>
      <w:r w:rsidRPr="00810F85">
        <w:rPr>
          <w:color w:val="000000" w:themeColor="text1"/>
        </w:rPr>
        <w:lastRenderedPageBreak/>
        <w:t>Como  referencia  para  la  primera  alternativa,  si los  ingresos  totales  del  FCM  distribuidos  el  año 2012,  según  los  datos  de  SINIM,  alcanzaron  los $784.125.366.000 pesos y el aporte de 218.000 UTM en dicho año alcanzó los</w:t>
      </w:r>
      <w:r w:rsidR="009D2610" w:rsidRPr="00810F85">
        <w:rPr>
          <w:color w:val="000000" w:themeColor="text1"/>
        </w:rPr>
        <w:t xml:space="preserve"> $8.396.924.000 pesos,</w:t>
      </w:r>
      <w:r w:rsidRPr="00810F85">
        <w:rPr>
          <w:color w:val="000000" w:themeColor="text1"/>
        </w:rPr>
        <w:t xml:space="preserve"> el aporte  fiscal  en  términos  relativos  alcanzo  solo  a 1,1 %  aprox.,  aunque  en  este  cálculo  no  se  considera  el  pago  de  impuesto  territorial  de  los  bienes raíces fiscales esta cifra no debiera cambiar considerablemente, por lo cual, este monto pudiera ser un porcentaje insuficiente. </w:t>
      </w:r>
    </w:p>
    <w:p w14:paraId="70478754" w14:textId="77777777" w:rsidR="009D2610" w:rsidRPr="00810F85" w:rsidRDefault="009D2610" w:rsidP="004D6960">
      <w:pPr>
        <w:jc w:val="both"/>
        <w:rPr>
          <w:color w:val="000000" w:themeColor="text1"/>
        </w:rPr>
      </w:pPr>
    </w:p>
    <w:p w14:paraId="031FA35F" w14:textId="77777777" w:rsidR="004D6960" w:rsidRPr="00810F85" w:rsidRDefault="004D6960" w:rsidP="004D6960">
      <w:pPr>
        <w:jc w:val="both"/>
        <w:rPr>
          <w:color w:val="000000" w:themeColor="text1"/>
        </w:rPr>
      </w:pPr>
      <w:r w:rsidRPr="00810F85">
        <w:rPr>
          <w:color w:val="000000" w:themeColor="text1"/>
        </w:rPr>
        <w:t>Respecto a la segunda opción, se sugiere que estos mayores aportes provienen principalmente de los ingresos del impuesto territorial, ya que son ingresos que no se ven influenciados directamente por la gestión de los municipios, evitando así posi</w:t>
      </w:r>
      <w:r w:rsidR="009D2610" w:rsidRPr="00810F85">
        <w:rPr>
          <w:color w:val="000000" w:themeColor="text1"/>
        </w:rPr>
        <w:t>bles “</w:t>
      </w:r>
      <w:r w:rsidRPr="00810F85">
        <w:rPr>
          <w:color w:val="000000" w:themeColor="text1"/>
        </w:rPr>
        <w:t>incentivos perversos” para recaudar menos de lo óptimo. En la práctica, será conveniente incorporar una o más comunas pertenecientes al grupo 1 para que aporten un 65 % del impuesto territorial, al igual que las comunas de Las Condes, Vitacura, Providencia y Santiago, siendo un claro ejemplo la comuna de Lo Barnechea, la cual presentó en el año 2012 un superávit presupuestario sobre los 14 mil millones de pesos. Si se hubiese modificado dicho porcentaje en dicho año, la pérdida (y por consiguiente mayor ingreso al FCM) hubiese sido menos de 2 mil millones de pesos. Finalmente, es necesario precisar que se requieren más estudios, bajos nuevos escenarios, modelos y variables para poder dar mayor sustento a estas recomendaciones, teniendo en cuenta que este tipo de reformas en el pasado han requerido bastante discusión para su posterior aprobación, como es el caso de la Ley N°20.237.</w:t>
      </w:r>
    </w:p>
    <w:p w14:paraId="6FCB1EBE" w14:textId="77777777" w:rsidR="004D6960" w:rsidRPr="00810F85" w:rsidRDefault="004D6960" w:rsidP="004D6960">
      <w:pPr>
        <w:jc w:val="both"/>
      </w:pPr>
    </w:p>
    <w:p w14:paraId="5E6757CF" w14:textId="77777777" w:rsidR="001F6E10" w:rsidRPr="00810F85" w:rsidRDefault="001F6E10" w:rsidP="0052143A">
      <w:pPr>
        <w:pStyle w:val="Ttulo1"/>
        <w:numPr>
          <w:ilvl w:val="0"/>
          <w:numId w:val="1"/>
        </w:numPr>
        <w:rPr>
          <w:rFonts w:ascii="Arial" w:hAnsi="Arial" w:cs="Arial"/>
          <w:color w:val="auto"/>
          <w:sz w:val="22"/>
          <w:szCs w:val="22"/>
        </w:rPr>
      </w:pPr>
      <w:bookmarkStart w:id="1" w:name="_Toc530596777"/>
      <w:r w:rsidRPr="00810F85">
        <w:rPr>
          <w:rFonts w:ascii="Arial" w:hAnsi="Arial" w:cs="Arial"/>
          <w:color w:val="auto"/>
          <w:sz w:val="22"/>
          <w:szCs w:val="22"/>
        </w:rPr>
        <w:t>OBJETIVOS</w:t>
      </w:r>
      <w:bookmarkEnd w:id="1"/>
    </w:p>
    <w:p w14:paraId="3DA089A0" w14:textId="77777777" w:rsidR="007F3A93" w:rsidRPr="00810F85" w:rsidRDefault="007F3A93" w:rsidP="007F3A93"/>
    <w:p w14:paraId="52CC8867" w14:textId="77777777" w:rsidR="001F6E10" w:rsidRPr="00810F85" w:rsidRDefault="009041FC" w:rsidP="0052143A">
      <w:pPr>
        <w:pStyle w:val="Ttulo2"/>
        <w:numPr>
          <w:ilvl w:val="1"/>
          <w:numId w:val="1"/>
        </w:numPr>
        <w:rPr>
          <w:rFonts w:ascii="Arial" w:hAnsi="Arial" w:cs="Arial"/>
          <w:b/>
          <w:color w:val="auto"/>
          <w:sz w:val="22"/>
          <w:szCs w:val="22"/>
        </w:rPr>
      </w:pPr>
      <w:bookmarkStart w:id="2" w:name="_Toc530596778"/>
      <w:r w:rsidRPr="00810F85">
        <w:rPr>
          <w:rFonts w:ascii="Arial" w:hAnsi="Arial" w:cs="Arial"/>
          <w:b/>
          <w:color w:val="auto"/>
          <w:sz w:val="22"/>
          <w:szCs w:val="22"/>
        </w:rPr>
        <w:t>OBJETIVO GENERAL</w:t>
      </w:r>
      <w:bookmarkEnd w:id="2"/>
    </w:p>
    <w:p w14:paraId="0B99C9FD" w14:textId="77777777" w:rsidR="007F3A93" w:rsidRPr="00810F85" w:rsidRDefault="007F3A93" w:rsidP="007F3A93"/>
    <w:p w14:paraId="25E697F9" w14:textId="77777777" w:rsidR="00636B3A" w:rsidRPr="00810F85" w:rsidRDefault="00636B3A" w:rsidP="00636B3A">
      <w:pPr>
        <w:pStyle w:val="Prrafodelista"/>
        <w:shd w:val="clear" w:color="auto" w:fill="FFFFFF"/>
        <w:spacing w:line="240" w:lineRule="auto"/>
        <w:jc w:val="both"/>
        <w:rPr>
          <w:rFonts w:eastAsia="Calibri"/>
        </w:rPr>
      </w:pPr>
      <w:r w:rsidRPr="00810F85">
        <w:rPr>
          <w:rFonts w:eastAsia="Calibri"/>
        </w:rPr>
        <w:t>Analizar los mecanismos por los cuales sería posible la incorporación de nuevas comunas contribuyentes al FCM y sus posibles efectos en el corto plazo.</w:t>
      </w:r>
    </w:p>
    <w:p w14:paraId="1A60F39E" w14:textId="77777777" w:rsidR="00636B3A" w:rsidRPr="00810F85" w:rsidRDefault="00636B3A" w:rsidP="00636B3A">
      <w:pPr>
        <w:pStyle w:val="Prrafodelista"/>
        <w:shd w:val="clear" w:color="auto" w:fill="FFFFFF"/>
        <w:spacing w:line="240" w:lineRule="auto"/>
        <w:jc w:val="both"/>
        <w:rPr>
          <w:rFonts w:eastAsia="Times New Roman"/>
          <w:color w:val="auto"/>
        </w:rPr>
      </w:pPr>
    </w:p>
    <w:p w14:paraId="146EA4CE" w14:textId="77777777" w:rsidR="001F6E10" w:rsidRPr="00810F85" w:rsidRDefault="009041FC" w:rsidP="0052143A">
      <w:pPr>
        <w:pStyle w:val="Ttulo2"/>
        <w:numPr>
          <w:ilvl w:val="1"/>
          <w:numId w:val="1"/>
        </w:numPr>
        <w:rPr>
          <w:rFonts w:ascii="Arial" w:hAnsi="Arial" w:cs="Arial"/>
          <w:b/>
          <w:color w:val="auto"/>
          <w:sz w:val="22"/>
          <w:szCs w:val="22"/>
        </w:rPr>
      </w:pPr>
      <w:bookmarkStart w:id="3" w:name="_Toc530596779"/>
      <w:r w:rsidRPr="00810F85">
        <w:rPr>
          <w:rFonts w:ascii="Arial" w:hAnsi="Arial" w:cs="Arial"/>
          <w:b/>
          <w:color w:val="auto"/>
          <w:sz w:val="22"/>
          <w:szCs w:val="22"/>
        </w:rPr>
        <w:t>OBJETIVOS ESPECIFICOS</w:t>
      </w:r>
      <w:bookmarkEnd w:id="3"/>
    </w:p>
    <w:p w14:paraId="73B53359" w14:textId="77777777" w:rsidR="007F3A93" w:rsidRPr="00810F85" w:rsidRDefault="007F3A93" w:rsidP="007F3A93"/>
    <w:p w14:paraId="097FC63C" w14:textId="77777777" w:rsidR="004036E1" w:rsidRPr="00810F85" w:rsidRDefault="004036E1" w:rsidP="0052143A">
      <w:pPr>
        <w:numPr>
          <w:ilvl w:val="0"/>
          <w:numId w:val="3"/>
        </w:numPr>
        <w:shd w:val="clear" w:color="auto" w:fill="FFFFFF"/>
        <w:spacing w:line="240" w:lineRule="auto"/>
        <w:jc w:val="both"/>
        <w:textAlignment w:val="baseline"/>
        <w:rPr>
          <w:rFonts w:eastAsia="Calibri"/>
        </w:rPr>
      </w:pPr>
      <w:r w:rsidRPr="00810F85">
        <w:rPr>
          <w:rFonts w:eastAsia="Calibri"/>
        </w:rPr>
        <w:t>Identificar los posibles nuevos contribuyentes al grupo de comunas que aportan un 65% del Impuesto Territorial, mediante el análisis de los factores de incorporación de la ley de Impuesto Territorial al FCM.</w:t>
      </w:r>
    </w:p>
    <w:p w14:paraId="05E4AAAA" w14:textId="77777777" w:rsidR="004036E1" w:rsidRPr="00810F85" w:rsidRDefault="004036E1" w:rsidP="004036E1">
      <w:pPr>
        <w:shd w:val="clear" w:color="auto" w:fill="FFFFFF"/>
        <w:spacing w:line="240" w:lineRule="auto"/>
        <w:ind w:left="720"/>
        <w:jc w:val="both"/>
        <w:textAlignment w:val="baseline"/>
        <w:rPr>
          <w:rFonts w:eastAsia="Calibri"/>
        </w:rPr>
      </w:pPr>
    </w:p>
    <w:p w14:paraId="3073FE72" w14:textId="77777777" w:rsidR="004036E1" w:rsidRPr="00810F85" w:rsidRDefault="004036E1" w:rsidP="0052143A">
      <w:pPr>
        <w:numPr>
          <w:ilvl w:val="0"/>
          <w:numId w:val="3"/>
        </w:numPr>
        <w:shd w:val="clear" w:color="auto" w:fill="FFFFFF"/>
        <w:spacing w:line="240" w:lineRule="auto"/>
        <w:jc w:val="both"/>
        <w:textAlignment w:val="baseline"/>
        <w:rPr>
          <w:rFonts w:eastAsia="Calibri"/>
        </w:rPr>
      </w:pPr>
      <w:r w:rsidRPr="00810F85">
        <w:rPr>
          <w:rFonts w:eastAsia="Calibri"/>
        </w:rPr>
        <w:t>Estimar los nuevos ingresos en el FCM, a raíz de la identificación de nuevas comunas contribuyentes.</w:t>
      </w:r>
    </w:p>
    <w:p w14:paraId="6CF52837" w14:textId="77777777" w:rsidR="004036E1" w:rsidRPr="00810F85" w:rsidRDefault="004036E1" w:rsidP="004036E1">
      <w:pPr>
        <w:shd w:val="clear" w:color="auto" w:fill="FFFFFF"/>
        <w:spacing w:line="240" w:lineRule="auto"/>
        <w:jc w:val="both"/>
        <w:textAlignment w:val="baseline"/>
        <w:rPr>
          <w:rFonts w:eastAsia="Calibri"/>
        </w:rPr>
      </w:pPr>
    </w:p>
    <w:p w14:paraId="1414A6CA" w14:textId="77777777" w:rsidR="004036E1" w:rsidRPr="00810F85" w:rsidRDefault="004036E1" w:rsidP="0052143A">
      <w:pPr>
        <w:numPr>
          <w:ilvl w:val="0"/>
          <w:numId w:val="3"/>
        </w:numPr>
        <w:shd w:val="clear" w:color="auto" w:fill="FFFFFF"/>
        <w:spacing w:line="240" w:lineRule="auto"/>
        <w:jc w:val="both"/>
        <w:textAlignment w:val="baseline"/>
        <w:rPr>
          <w:rFonts w:eastAsia="Calibri"/>
        </w:rPr>
      </w:pPr>
      <w:r w:rsidRPr="00810F85">
        <w:rPr>
          <w:rFonts w:eastAsia="Calibri"/>
        </w:rPr>
        <w:t>Calcular los fondos de redistribución a las comunas en base a los posibles nuevos ingresos del FCM.</w:t>
      </w:r>
    </w:p>
    <w:p w14:paraId="774F60EE" w14:textId="77777777" w:rsidR="004036E1" w:rsidRPr="00810F85" w:rsidRDefault="004036E1" w:rsidP="004036E1">
      <w:pPr>
        <w:shd w:val="clear" w:color="auto" w:fill="FFFFFF"/>
        <w:spacing w:line="240" w:lineRule="auto"/>
        <w:jc w:val="both"/>
        <w:textAlignment w:val="baseline"/>
        <w:rPr>
          <w:rFonts w:eastAsia="Calibri"/>
        </w:rPr>
      </w:pPr>
    </w:p>
    <w:p w14:paraId="3B468A97" w14:textId="77777777" w:rsidR="004036E1" w:rsidRPr="00810F85" w:rsidRDefault="004036E1" w:rsidP="0052143A">
      <w:pPr>
        <w:numPr>
          <w:ilvl w:val="0"/>
          <w:numId w:val="3"/>
        </w:numPr>
        <w:shd w:val="clear" w:color="auto" w:fill="FFFFFF"/>
        <w:spacing w:line="240" w:lineRule="auto"/>
        <w:jc w:val="both"/>
        <w:textAlignment w:val="baseline"/>
        <w:rPr>
          <w:rFonts w:eastAsia="Calibri"/>
        </w:rPr>
      </w:pPr>
      <w:r w:rsidRPr="00810F85">
        <w:rPr>
          <w:rFonts w:eastAsia="Calibri"/>
        </w:rPr>
        <w:t xml:space="preserve">Analizar los efectos en el presupuesto comunal a la luz de las posibles modificaciones del FCM. (de acuerdo a una clasificación de tipología Municipal). </w:t>
      </w:r>
    </w:p>
    <w:p w14:paraId="1C3F8DB6" w14:textId="77777777" w:rsidR="001F6E10" w:rsidRPr="00810F85" w:rsidRDefault="001F6E10" w:rsidP="0052143A">
      <w:pPr>
        <w:pStyle w:val="Ttulo1"/>
        <w:numPr>
          <w:ilvl w:val="0"/>
          <w:numId w:val="1"/>
        </w:numPr>
        <w:rPr>
          <w:rFonts w:ascii="Arial" w:hAnsi="Arial" w:cs="Arial"/>
          <w:color w:val="auto"/>
          <w:sz w:val="22"/>
          <w:szCs w:val="22"/>
        </w:rPr>
      </w:pPr>
      <w:bookmarkStart w:id="4" w:name="_Toc530596780"/>
      <w:r w:rsidRPr="00810F85">
        <w:rPr>
          <w:rFonts w:ascii="Arial" w:hAnsi="Arial" w:cs="Arial"/>
          <w:color w:val="auto"/>
          <w:sz w:val="22"/>
          <w:szCs w:val="22"/>
        </w:rPr>
        <w:lastRenderedPageBreak/>
        <w:t>MARCO TEÓRICO</w:t>
      </w:r>
      <w:bookmarkEnd w:id="4"/>
    </w:p>
    <w:p w14:paraId="4D2C4433" w14:textId="77777777" w:rsidR="007A14D3" w:rsidRPr="00810F85" w:rsidRDefault="007A14D3" w:rsidP="007A14D3"/>
    <w:p w14:paraId="36414480" w14:textId="77777777" w:rsidR="007A14D3" w:rsidRPr="00810F85" w:rsidRDefault="008A08D0" w:rsidP="0052143A">
      <w:pPr>
        <w:pStyle w:val="Ttulo2"/>
        <w:numPr>
          <w:ilvl w:val="1"/>
          <w:numId w:val="1"/>
        </w:numPr>
        <w:rPr>
          <w:rFonts w:ascii="Arial" w:hAnsi="Arial" w:cs="Arial"/>
          <w:b/>
          <w:color w:val="auto"/>
          <w:sz w:val="22"/>
          <w:szCs w:val="22"/>
        </w:rPr>
      </w:pPr>
      <w:bookmarkStart w:id="5" w:name="_Toc530596781"/>
      <w:r w:rsidRPr="00810F85">
        <w:rPr>
          <w:rFonts w:ascii="Arial" w:hAnsi="Arial" w:cs="Arial"/>
          <w:b/>
          <w:color w:val="auto"/>
          <w:sz w:val="22"/>
          <w:szCs w:val="22"/>
        </w:rPr>
        <w:t>Introducción</w:t>
      </w:r>
      <w:bookmarkEnd w:id="5"/>
    </w:p>
    <w:p w14:paraId="00EDB287" w14:textId="77777777" w:rsidR="009041FC" w:rsidRPr="00810F85" w:rsidRDefault="009041FC" w:rsidP="009041FC"/>
    <w:p w14:paraId="39E69838" w14:textId="77777777" w:rsidR="009041FC" w:rsidRPr="00810F85" w:rsidRDefault="009041FC" w:rsidP="009041FC">
      <w:pPr>
        <w:pStyle w:val="Prrafodelista"/>
        <w:jc w:val="both"/>
      </w:pPr>
      <w:r w:rsidRPr="00810F85">
        <w:t xml:space="preserve">En los últimos años se han incrementado sucesivamente los estudios y publicaciones en torno a análisis del funcionamiento del FCM. La mayoría de ellos concluye que se requieren cambios tanto en la forma de distribución de los recursos, de forma de incentivar el desarrollo de las comunas y disminuir lo que se llama “pereza fiscal”, como a evaluar mecanismos que fortalezcan los ingresos del fondo, mejorando su eficiencia económica </w:t>
      </w:r>
      <w:sdt>
        <w:sdtPr>
          <w:id w:val="1801645779"/>
          <w:citation/>
        </w:sdtPr>
        <w:sdtEndPr/>
        <w:sdtContent>
          <w:r w:rsidRPr="00810F85">
            <w:fldChar w:fldCharType="begin"/>
          </w:r>
          <w:r w:rsidRPr="00810F85">
            <w:instrText xml:space="preserve"> CITATION Bra141 \l 13322 </w:instrText>
          </w:r>
          <w:r w:rsidRPr="00810F85">
            <w:fldChar w:fldCharType="separate"/>
          </w:r>
          <w:r w:rsidR="00A06373" w:rsidRPr="00810F85">
            <w:rPr>
              <w:noProof/>
            </w:rPr>
            <w:t>(Bravo, Javiera, 2014)</w:t>
          </w:r>
          <w:r w:rsidRPr="00810F85">
            <w:fldChar w:fldCharType="end"/>
          </w:r>
        </w:sdtContent>
      </w:sdt>
      <w:sdt>
        <w:sdtPr>
          <w:id w:val="1304425003"/>
          <w:citation/>
        </w:sdtPr>
        <w:sdtEndPr/>
        <w:sdtContent>
          <w:r w:rsidRPr="00810F85">
            <w:fldChar w:fldCharType="begin"/>
          </w:r>
          <w:r w:rsidRPr="00810F85">
            <w:instrText xml:space="preserve"> CITATION OEC171 \l 13322 </w:instrText>
          </w:r>
          <w:r w:rsidRPr="00810F85">
            <w:fldChar w:fldCharType="separate"/>
          </w:r>
          <w:r w:rsidR="00A06373" w:rsidRPr="00810F85">
            <w:rPr>
              <w:noProof/>
            </w:rPr>
            <w:t xml:space="preserve"> (OECD, 2017)</w:t>
          </w:r>
          <w:r w:rsidRPr="00810F85">
            <w:fldChar w:fldCharType="end"/>
          </w:r>
        </w:sdtContent>
      </w:sdt>
      <w:r w:rsidRPr="00810F85">
        <w:t xml:space="preserve"> </w:t>
      </w:r>
      <w:sdt>
        <w:sdtPr>
          <w:id w:val="1831712635"/>
          <w:citation/>
        </w:sdtPr>
        <w:sdtEndPr/>
        <w:sdtContent>
          <w:r w:rsidRPr="00810F85">
            <w:fldChar w:fldCharType="begin"/>
          </w:r>
          <w:r w:rsidRPr="00810F85">
            <w:instrText xml:space="preserve">CITATION Per16 \l 13322 </w:instrText>
          </w:r>
          <w:r w:rsidRPr="00810F85">
            <w:fldChar w:fldCharType="separate"/>
          </w:r>
          <w:r w:rsidR="00A06373" w:rsidRPr="00810F85">
            <w:rPr>
              <w:b/>
              <w:bCs/>
              <w:noProof/>
              <w:lang w:val="es-ES"/>
            </w:rPr>
            <w:t>Fuente especificada no válida.</w:t>
          </w:r>
          <w:r w:rsidRPr="00810F85">
            <w:fldChar w:fldCharType="end"/>
          </w:r>
        </w:sdtContent>
      </w:sdt>
      <w:r w:rsidRPr="00810F85">
        <w:t>.</w:t>
      </w:r>
    </w:p>
    <w:p w14:paraId="5E6A7881" w14:textId="77777777" w:rsidR="009041FC" w:rsidRPr="00810F85" w:rsidRDefault="009041FC" w:rsidP="009041FC">
      <w:pPr>
        <w:pStyle w:val="Prrafodelista"/>
        <w:jc w:val="both"/>
      </w:pPr>
    </w:p>
    <w:p w14:paraId="359DE234" w14:textId="77777777" w:rsidR="009041FC" w:rsidRDefault="009041FC" w:rsidP="009041FC">
      <w:pPr>
        <w:pStyle w:val="Prrafodelista"/>
        <w:jc w:val="both"/>
      </w:pPr>
      <w:r w:rsidRPr="00810F85">
        <w:t>Si bien el fondo cumpliría con el objetivo de redistribuir de manera solidaria como refiere Mario Pérez en su análisis del fondo (2016) “entre las comunas de mayores ingresos propios con las que poseen menos, mejorando considerablemente la condición inicial de estas últimas</w:t>
      </w:r>
      <w:r w:rsidR="00936D79">
        <w:t>”.</w:t>
      </w:r>
    </w:p>
    <w:p w14:paraId="04FBA99B" w14:textId="77777777" w:rsidR="00936D79" w:rsidRPr="00810F85" w:rsidRDefault="00936D79" w:rsidP="009041FC">
      <w:pPr>
        <w:pStyle w:val="Prrafodelista"/>
        <w:jc w:val="both"/>
      </w:pPr>
    </w:p>
    <w:p w14:paraId="45A64213" w14:textId="77777777" w:rsidR="00284FA2" w:rsidRPr="00810F85" w:rsidRDefault="00284FA2" w:rsidP="0052143A">
      <w:pPr>
        <w:pStyle w:val="Ttulo2"/>
        <w:numPr>
          <w:ilvl w:val="1"/>
          <w:numId w:val="1"/>
        </w:numPr>
        <w:rPr>
          <w:rFonts w:ascii="Arial" w:hAnsi="Arial" w:cs="Arial"/>
          <w:b/>
          <w:color w:val="auto"/>
          <w:sz w:val="22"/>
          <w:szCs w:val="22"/>
        </w:rPr>
      </w:pPr>
      <w:bookmarkStart w:id="6" w:name="_Toc530596782"/>
      <w:r w:rsidRPr="00810F85">
        <w:rPr>
          <w:rFonts w:ascii="Arial" w:hAnsi="Arial" w:cs="Arial"/>
          <w:b/>
          <w:color w:val="auto"/>
          <w:sz w:val="22"/>
          <w:szCs w:val="22"/>
        </w:rPr>
        <w:t>Los Municipios en Chile y su financiamiento</w:t>
      </w:r>
      <w:bookmarkEnd w:id="6"/>
    </w:p>
    <w:p w14:paraId="1641B789" w14:textId="77777777" w:rsidR="007A14D3" w:rsidRPr="00810F85" w:rsidRDefault="007A14D3" w:rsidP="007A14D3"/>
    <w:p w14:paraId="722AB412" w14:textId="77777777" w:rsidR="00284FA2" w:rsidRPr="00810F85" w:rsidRDefault="00284FA2" w:rsidP="00284FA2">
      <w:pPr>
        <w:jc w:val="both"/>
      </w:pPr>
      <w:r w:rsidRPr="00810F85">
        <w:t xml:space="preserve">La Ley Orgánica de Municipalidades define a las municipalidades como corporaciones autónomas de derecho público, con personalidad jurídica y patrimonio propio, cuya finalidad es satisfacer las necesidades de la comunidad en el progreso económico, social y cultural de las respectivas comunas </w:t>
      </w:r>
      <w:sdt>
        <w:sdtPr>
          <w:id w:val="-738168516"/>
          <w:citation/>
        </w:sdtPr>
        <w:sdtEndPr/>
        <w:sdtContent>
          <w:r w:rsidRPr="00810F85">
            <w:fldChar w:fldCharType="begin"/>
          </w:r>
          <w:r w:rsidRPr="00810F85">
            <w:instrText xml:space="preserve">CITATION Bib181 \l 13322 </w:instrText>
          </w:r>
          <w:r w:rsidRPr="00810F85">
            <w:fldChar w:fldCharType="separate"/>
          </w:r>
          <w:r w:rsidR="00A06373" w:rsidRPr="00810F85">
            <w:rPr>
              <w:noProof/>
            </w:rPr>
            <w:t>(LEY Nº 18.695)</w:t>
          </w:r>
          <w:r w:rsidRPr="00810F85">
            <w:fldChar w:fldCharType="end"/>
          </w:r>
        </w:sdtContent>
      </w:sdt>
      <w:r w:rsidRPr="00810F85">
        <w:t>.</w:t>
      </w:r>
    </w:p>
    <w:p w14:paraId="6B4B044F" w14:textId="77777777" w:rsidR="00284FA2" w:rsidRPr="00810F85" w:rsidRDefault="00284FA2" w:rsidP="00284FA2">
      <w:pPr>
        <w:jc w:val="both"/>
      </w:pPr>
    </w:p>
    <w:p w14:paraId="37F12896" w14:textId="77777777" w:rsidR="00284FA2" w:rsidRPr="00810F85" w:rsidRDefault="00284FA2" w:rsidP="00284FA2">
      <w:pPr>
        <w:jc w:val="both"/>
      </w:pPr>
      <w:r w:rsidRPr="00810F85">
        <w:t>Esta misma ley establece que las fuentes del patrimonio municipal son las siguientes:</w:t>
      </w:r>
    </w:p>
    <w:p w14:paraId="39AECCE6" w14:textId="77777777" w:rsidR="00284FA2" w:rsidRPr="00810F85" w:rsidRDefault="00284FA2" w:rsidP="00284FA2">
      <w:pPr>
        <w:jc w:val="both"/>
      </w:pPr>
    </w:p>
    <w:p w14:paraId="01F75532" w14:textId="77777777" w:rsidR="00284FA2" w:rsidRPr="00810F85" w:rsidRDefault="00284FA2" w:rsidP="0052143A">
      <w:pPr>
        <w:numPr>
          <w:ilvl w:val="0"/>
          <w:numId w:val="4"/>
        </w:numPr>
        <w:contextualSpacing/>
        <w:jc w:val="both"/>
      </w:pPr>
      <w:r w:rsidRPr="00810F85">
        <w:t>Los bienes corporales e incorporales que posean o adquieran a cualquier título;</w:t>
      </w:r>
    </w:p>
    <w:p w14:paraId="088C1724" w14:textId="77777777" w:rsidR="00284FA2" w:rsidRPr="00810F85" w:rsidRDefault="00284FA2" w:rsidP="0052143A">
      <w:pPr>
        <w:numPr>
          <w:ilvl w:val="0"/>
          <w:numId w:val="4"/>
        </w:numPr>
        <w:contextualSpacing/>
        <w:jc w:val="both"/>
      </w:pPr>
      <w:r w:rsidRPr="00810F85">
        <w:t>El aporte que les otorgue el gobierno regional respectivo;</w:t>
      </w:r>
    </w:p>
    <w:p w14:paraId="0160677F" w14:textId="77777777" w:rsidR="00284FA2" w:rsidRPr="00810F85" w:rsidRDefault="00284FA2" w:rsidP="0052143A">
      <w:pPr>
        <w:numPr>
          <w:ilvl w:val="0"/>
          <w:numId w:val="4"/>
        </w:numPr>
        <w:contextualSpacing/>
        <w:jc w:val="both"/>
      </w:pPr>
      <w:r w:rsidRPr="00810F85">
        <w:t>Los ingresos provenientes de su participación en el Fondo Común Municipal (FCM);</w:t>
      </w:r>
    </w:p>
    <w:p w14:paraId="6A6F2C12" w14:textId="77777777" w:rsidR="00284FA2" w:rsidRPr="00810F85" w:rsidRDefault="00284FA2" w:rsidP="0052143A">
      <w:pPr>
        <w:numPr>
          <w:ilvl w:val="0"/>
          <w:numId w:val="4"/>
        </w:numPr>
        <w:contextualSpacing/>
        <w:jc w:val="both"/>
      </w:pPr>
      <w:r w:rsidRPr="00810F85">
        <w:t>Los derechos que cobren por los servicios que presten y por los permisos y concesiones que otorguen;</w:t>
      </w:r>
    </w:p>
    <w:p w14:paraId="45FAA149" w14:textId="77777777" w:rsidR="00284FA2" w:rsidRPr="00810F85" w:rsidRDefault="00284FA2" w:rsidP="0052143A">
      <w:pPr>
        <w:numPr>
          <w:ilvl w:val="0"/>
          <w:numId w:val="4"/>
        </w:numPr>
        <w:contextualSpacing/>
        <w:jc w:val="both"/>
      </w:pPr>
      <w:r w:rsidRPr="00810F85">
        <w:t>Los ingresos que perciban con motivo de sus actividades o de las de los establecimientos de su dependencia;</w:t>
      </w:r>
    </w:p>
    <w:p w14:paraId="3B0A3766" w14:textId="77777777" w:rsidR="00284FA2" w:rsidRPr="00810F85" w:rsidRDefault="00284FA2" w:rsidP="0052143A">
      <w:pPr>
        <w:numPr>
          <w:ilvl w:val="0"/>
          <w:numId w:val="4"/>
        </w:numPr>
        <w:contextualSpacing/>
        <w:jc w:val="both"/>
      </w:pPr>
      <w:r w:rsidRPr="00810F85">
        <w:t>Los ingresos que recauden por los tributos que la ley permita aplicar a las autoridades comunales, dentro de los marcos que la ley señale, que graven actividades o bienes que tengan una clara identificación local, para ser destinados a obras de desarrollo comunal, sin perjuicio de la disposición sexta transitoria de la Constitución Política, comprendiendo dentro de ellos, tributos tales como el impuesto territorial establecido en la Ley sobre Impuesto Territorial, el permiso de circulación de vehículos consagrado en la Ley de Rentas Municipales, y las patentes a que se refieren los artículos 23 y 32 de dicha ley y 3º de la Ley sobre Expendio y Consumo de Bebidas Alcohólicas;</w:t>
      </w:r>
    </w:p>
    <w:p w14:paraId="11FC21A5" w14:textId="77777777" w:rsidR="00284FA2" w:rsidRPr="00810F85" w:rsidRDefault="00284FA2" w:rsidP="0052143A">
      <w:pPr>
        <w:numPr>
          <w:ilvl w:val="0"/>
          <w:numId w:val="4"/>
        </w:numPr>
        <w:contextualSpacing/>
        <w:jc w:val="both"/>
      </w:pPr>
      <w:r w:rsidRPr="00810F85">
        <w:t>Las multas e intereses establecidos a beneficio municipal.</w:t>
      </w:r>
    </w:p>
    <w:p w14:paraId="10A36566" w14:textId="77777777" w:rsidR="00284FA2" w:rsidRPr="00810F85" w:rsidRDefault="00284FA2" w:rsidP="00284FA2">
      <w:pPr>
        <w:jc w:val="both"/>
      </w:pPr>
    </w:p>
    <w:p w14:paraId="6775C535" w14:textId="77777777" w:rsidR="00284FA2" w:rsidRPr="00810F85" w:rsidRDefault="00284FA2" w:rsidP="00284FA2">
      <w:pPr>
        <w:jc w:val="both"/>
      </w:pPr>
      <w:r w:rsidRPr="00810F85">
        <w:lastRenderedPageBreak/>
        <w:t xml:space="preserve">Los ingresos municipales se pueden clasificar según el origen del financiamiento municipal, constituyendo básicamente dos fuentes: ingresos propios permanentes (IPP) y Fondo Común Municipal (FCM). De menor incidencia en la recaudación de fondos municipales se pueden encontrar las transferencias corrientes y de capital y otros tipos de ingresos </w:t>
      </w:r>
      <w:sdt>
        <w:sdtPr>
          <w:id w:val="-1830439651"/>
          <w:citation/>
        </w:sdtPr>
        <w:sdtEndPr/>
        <w:sdtContent>
          <w:r w:rsidRPr="00810F85">
            <w:fldChar w:fldCharType="begin"/>
          </w:r>
          <w:r w:rsidRPr="00810F85">
            <w:instrText xml:space="preserve"> CITATION Bib181 \l 13322 </w:instrText>
          </w:r>
          <w:r w:rsidRPr="00810F85">
            <w:fldChar w:fldCharType="separate"/>
          </w:r>
          <w:r w:rsidR="00A06373" w:rsidRPr="00810F85">
            <w:rPr>
              <w:noProof/>
            </w:rPr>
            <w:t>(LEY Nº 18.695)</w:t>
          </w:r>
          <w:r w:rsidRPr="00810F85">
            <w:fldChar w:fldCharType="end"/>
          </w:r>
        </w:sdtContent>
      </w:sdt>
      <w:r w:rsidRPr="00810F85">
        <w:t xml:space="preserve">.  </w:t>
      </w:r>
    </w:p>
    <w:p w14:paraId="2C1B6336" w14:textId="77777777" w:rsidR="00284FA2" w:rsidRPr="00810F85" w:rsidRDefault="00284FA2" w:rsidP="00284FA2">
      <w:pPr>
        <w:jc w:val="both"/>
      </w:pPr>
    </w:p>
    <w:p w14:paraId="31B9EA1B" w14:textId="77777777" w:rsidR="00284FA2" w:rsidRPr="00810F85" w:rsidRDefault="00284FA2" w:rsidP="00284FA2">
      <w:pPr>
        <w:jc w:val="both"/>
      </w:pPr>
      <w:r w:rsidRPr="00810F85">
        <w:t xml:space="preserve">Los Ingresos Propios Permanentes son la fuente de ingresos que genera la comuna a partir de la gestión municipal, por lo que se consideran como un importante indicador de la capacidad de autofinanciamiento del municipio. Estos ingresos generados no están sujetos a restricciones en cuanto a su inversión, y son de libre disposición del municipio correspondiente. Según lo establece la Ley de Rentas Municipales, los IPP están compuestos por los ingresos por recaudación de patentes municipales, por derecho de aseo, por concesiones, las rentas a la propiedad municipal, y porcentajes del ingreso provenientes del impuesto territorial y de los permisos de circulación, entre otros. De estas fuentes, tres son las que generan la mayor parte del IPP son las siguientes: el impuesto territorial, las patentes comerciales y los permisos de circulación. </w:t>
      </w:r>
    </w:p>
    <w:p w14:paraId="4456DF55" w14:textId="77777777" w:rsidR="00284FA2" w:rsidRPr="00810F85" w:rsidRDefault="00284FA2" w:rsidP="00284FA2">
      <w:pPr>
        <w:jc w:val="both"/>
      </w:pPr>
    </w:p>
    <w:p w14:paraId="53C28B55" w14:textId="77777777" w:rsidR="00284FA2" w:rsidRPr="00810F85" w:rsidRDefault="00284FA2" w:rsidP="00284FA2">
      <w:pPr>
        <w:jc w:val="both"/>
      </w:pPr>
      <w:r w:rsidRPr="00810F85">
        <w:rPr>
          <w:b/>
        </w:rPr>
        <w:t>El impuesto territorial</w:t>
      </w:r>
      <w:r w:rsidRPr="00810F85">
        <w:t xml:space="preserve"> es un impuesto a los bienes raíces agrícolas y no agrícolas cuyo funcionamiento y aplicación se encuentran regulados por la Ley N° 17.235 sobre el Impuesto Territorial. El Servicio de Impuestos Internos es la institución encargada de hacer efectiva esta ley a través de la aplicación y regulación del impuesto, por lo que le corresponde la tarea de tasar los bienes sujetos a esta ley y recaudar los ingresos del Impuesto Territorial. Específicamente, de este ingreso sólo un 40% queda a disposición del municipio como financiamiento propio, mientras que el 60% restante es destinado al Fondo Común Municipal (en el caso de las cuatro comunas más grandes- Santiago, Providencia, Las Condes y Vitacura- los porcentajes son de 35% y 65%, respectivamente). A diferencia del impuesto territorial, las patentes comerciales son reguladas principalmente por la municipalidad, la cual elige la tasa a cobrar sujeto a un rango establecido por ley, y se encarga de su recaudación. Del monto recaudado por patentes comerciales, sólo las cuatro municipalidades mencionadas anteriormente deben donar una parte al FCM: la municipalidad de Santiago aportando un 55%, y las municipalidades de Las Condes, Providencia y Vitacura un 65%. Finalmente, respecto a los permisos de circulación, del total recaudado por concepto de dicho impuesto, el 37,5% es de beneficio municipal, mientras que el 64,5% se encuentra dirigido al FCM </w:t>
      </w:r>
      <w:sdt>
        <w:sdtPr>
          <w:id w:val="2024362020"/>
          <w:citation/>
        </w:sdtPr>
        <w:sdtEndPr/>
        <w:sdtContent>
          <w:r w:rsidRPr="00810F85">
            <w:fldChar w:fldCharType="begin"/>
          </w:r>
          <w:r w:rsidRPr="00810F85">
            <w:instrText xml:space="preserve">CITATION Fra13 \l 13322 </w:instrText>
          </w:r>
          <w:r w:rsidRPr="00810F85">
            <w:fldChar w:fldCharType="separate"/>
          </w:r>
          <w:r w:rsidR="00A06373" w:rsidRPr="00810F85">
            <w:rPr>
              <w:noProof/>
            </w:rPr>
            <w:t>(Pacheco, Sánchez, &amp; Villena, 2013)</w:t>
          </w:r>
          <w:r w:rsidRPr="00810F85">
            <w:fldChar w:fldCharType="end"/>
          </w:r>
        </w:sdtContent>
      </w:sdt>
      <w:r w:rsidRPr="00810F85">
        <w:t xml:space="preserve">. </w:t>
      </w:r>
    </w:p>
    <w:p w14:paraId="69681258" w14:textId="77777777" w:rsidR="00284FA2" w:rsidRPr="00810F85" w:rsidRDefault="00284FA2" w:rsidP="007A14D3"/>
    <w:p w14:paraId="5894AB56" w14:textId="77777777" w:rsidR="00284FA2" w:rsidRPr="00810F85" w:rsidRDefault="00284FA2" w:rsidP="0052143A">
      <w:pPr>
        <w:pStyle w:val="Ttulo2"/>
        <w:numPr>
          <w:ilvl w:val="1"/>
          <w:numId w:val="1"/>
        </w:numPr>
        <w:rPr>
          <w:rFonts w:ascii="Arial" w:hAnsi="Arial" w:cs="Arial"/>
          <w:b/>
          <w:color w:val="auto"/>
          <w:sz w:val="22"/>
          <w:szCs w:val="22"/>
        </w:rPr>
      </w:pPr>
      <w:bookmarkStart w:id="7" w:name="_Toc530596783"/>
      <w:r w:rsidRPr="00810F85">
        <w:rPr>
          <w:rFonts w:ascii="Arial" w:hAnsi="Arial" w:cs="Arial"/>
          <w:b/>
          <w:color w:val="auto"/>
          <w:sz w:val="22"/>
          <w:szCs w:val="22"/>
        </w:rPr>
        <w:t>El Fondo Común Municipal</w:t>
      </w:r>
      <w:bookmarkEnd w:id="7"/>
    </w:p>
    <w:p w14:paraId="5A7DD543" w14:textId="77777777" w:rsidR="00284FA2" w:rsidRPr="00810F85" w:rsidRDefault="00284FA2" w:rsidP="007A14D3"/>
    <w:p w14:paraId="286B4F12" w14:textId="77777777" w:rsidR="00284FA2" w:rsidRPr="00810F85" w:rsidRDefault="00284FA2" w:rsidP="00284FA2">
      <w:pPr>
        <w:jc w:val="both"/>
      </w:pPr>
      <w:r w:rsidRPr="00810F85">
        <w:t>El Fondo Común Municipal (FCM), fue creado en 1979 y constituye la principal fuente de financiamiento para los municipios de nuestro país. Este mecanismo definido en la constitución del país en su artículo 122 como un mecanismo de redistribución solidaria de los ingresos propios entre las municipalidades, tiene por objeto la equidad fiscal, asegurando el logro de los objetivos municipales y su funcionamiento apropiado</w:t>
      </w:r>
      <w:r w:rsidRPr="00810F85">
        <w:rPr>
          <w:rStyle w:val="Refdenotaalpie"/>
        </w:rPr>
        <w:footnoteReference w:id="2"/>
      </w:r>
      <w:r w:rsidRPr="00810F85">
        <w:t xml:space="preserve">, y se </w:t>
      </w:r>
      <w:r w:rsidRPr="00810F85">
        <w:lastRenderedPageBreak/>
        <w:t xml:space="preserve">compone de aportes entregados por los municipios, los que a su vez reciben una proporción del Fondo recaudado, </w:t>
      </w:r>
      <w:r w:rsidR="008A08D0" w:rsidRPr="00810F85">
        <w:t>acorde a lo establecido por la Subsecretaría de Desarrollo R</w:t>
      </w:r>
      <w:r w:rsidRPr="00810F85">
        <w:t xml:space="preserve">egional (SUBDERE) </w:t>
      </w:r>
      <w:sdt>
        <w:sdtPr>
          <w:id w:val="-804935567"/>
          <w:citation/>
        </w:sdtPr>
        <w:sdtEndPr/>
        <w:sdtContent>
          <w:r w:rsidRPr="00810F85">
            <w:fldChar w:fldCharType="begin"/>
          </w:r>
          <w:r w:rsidRPr="00810F85">
            <w:instrText xml:space="preserve">CITATION Bra141 \l 13322 </w:instrText>
          </w:r>
          <w:r w:rsidRPr="00810F85">
            <w:fldChar w:fldCharType="separate"/>
          </w:r>
          <w:r w:rsidR="00A06373" w:rsidRPr="00810F85">
            <w:rPr>
              <w:noProof/>
            </w:rPr>
            <w:t>(Bravo, Javiera, 2014)</w:t>
          </w:r>
          <w:r w:rsidRPr="00810F85">
            <w:fldChar w:fldCharType="end"/>
          </w:r>
        </w:sdtContent>
      </w:sdt>
      <w:r w:rsidRPr="00810F85">
        <w:t>.</w:t>
      </w:r>
    </w:p>
    <w:p w14:paraId="37C53650" w14:textId="77777777" w:rsidR="00284FA2" w:rsidRPr="00810F85" w:rsidRDefault="00284FA2" w:rsidP="00284FA2">
      <w:pPr>
        <w:jc w:val="both"/>
      </w:pPr>
    </w:p>
    <w:p w14:paraId="23C16D90" w14:textId="77777777" w:rsidR="00284FA2" w:rsidRPr="00810F85" w:rsidRDefault="00284FA2" w:rsidP="00284FA2">
      <w:pPr>
        <w:jc w:val="both"/>
      </w:pPr>
      <w:r w:rsidRPr="00810F85">
        <w:t>Este Fondo funciona mediante una fórmula de distribución que depende de los siguientes componentes: Número de municipios, población, importancia relativa de los predios exentos, pobreza, y los ingresos recaudados (lo que se miden por el Ingreso Propio Permanente -IPP-</w:t>
      </w:r>
      <w:r w:rsidRPr="00810F85">
        <w:rPr>
          <w:rStyle w:val="Refdenotaalpie"/>
        </w:rPr>
        <w:footnoteReference w:id="3"/>
      </w:r>
      <w:r w:rsidRPr="00810F85">
        <w:t xml:space="preserve">)  </w:t>
      </w:r>
      <w:sdt>
        <w:sdtPr>
          <w:id w:val="-1609652851"/>
          <w:citation/>
        </w:sdtPr>
        <w:sdtEndPr/>
        <w:sdtContent>
          <w:r w:rsidRPr="00810F85">
            <w:fldChar w:fldCharType="begin"/>
          </w:r>
          <w:r w:rsidRPr="00810F85">
            <w:instrText xml:space="preserve"> CITATION Bra141 \l 13322 </w:instrText>
          </w:r>
          <w:r w:rsidRPr="00810F85">
            <w:fldChar w:fldCharType="separate"/>
          </w:r>
          <w:r w:rsidR="00A06373" w:rsidRPr="00810F85">
            <w:rPr>
              <w:noProof/>
            </w:rPr>
            <w:t>(Bravo, Javiera, 2014)</w:t>
          </w:r>
          <w:r w:rsidRPr="00810F85">
            <w:fldChar w:fldCharType="end"/>
          </w:r>
        </w:sdtContent>
      </w:sdt>
      <w:r w:rsidRPr="00810F85">
        <w:t>.</w:t>
      </w:r>
    </w:p>
    <w:p w14:paraId="4E94E043" w14:textId="77777777" w:rsidR="00284FA2" w:rsidRPr="00810F85" w:rsidRDefault="00284FA2" w:rsidP="00284FA2">
      <w:pPr>
        <w:jc w:val="both"/>
      </w:pPr>
    </w:p>
    <w:p w14:paraId="406C57F6" w14:textId="77777777" w:rsidR="00284FA2" w:rsidRPr="00810F85" w:rsidRDefault="00284FA2" w:rsidP="00284FA2">
      <w:pPr>
        <w:jc w:val="both"/>
      </w:pPr>
      <w:r w:rsidRPr="00810F85">
        <w:t xml:space="preserve">El funcionamiento actual de este fondo, ha sido determinado a través de la ley N°20.037 (2007), la cual modificó el Decreto de Ley N° 3.063, del 79, sobre Rentas Municipales; La Ley N° 1293 del Ministerio del Interior (2009) que establece aspectos de procedimiento y fórmulas de cálculo de los coeficientes utilizados </w:t>
      </w:r>
      <w:sdt>
        <w:sdtPr>
          <w:id w:val="1982957487"/>
          <w:citation/>
        </w:sdtPr>
        <w:sdtEndPr/>
        <w:sdtContent>
          <w:r w:rsidRPr="00810F85">
            <w:fldChar w:fldCharType="begin"/>
          </w:r>
          <w:r w:rsidRPr="00810F85">
            <w:instrText xml:space="preserve">CITATION Dia11 \l 13322 </w:instrText>
          </w:r>
          <w:r w:rsidRPr="00810F85">
            <w:fldChar w:fldCharType="separate"/>
          </w:r>
          <w:r w:rsidR="00A06373" w:rsidRPr="00810F85">
            <w:rPr>
              <w:b/>
              <w:bCs/>
              <w:noProof/>
              <w:lang w:val="es-ES"/>
            </w:rPr>
            <w:t>Fuente especificada no válida.</w:t>
          </w:r>
          <w:r w:rsidRPr="00810F85">
            <w:fldChar w:fldCharType="end"/>
          </w:r>
        </w:sdtContent>
      </w:sdt>
      <w:r w:rsidRPr="00810F85">
        <w:t>.</w:t>
      </w:r>
    </w:p>
    <w:p w14:paraId="1777483E" w14:textId="77777777" w:rsidR="00284FA2" w:rsidRPr="00810F85" w:rsidRDefault="00284FA2" w:rsidP="00284FA2">
      <w:pPr>
        <w:jc w:val="both"/>
      </w:pPr>
    </w:p>
    <w:p w14:paraId="561B3E20" w14:textId="77777777" w:rsidR="00284FA2" w:rsidRPr="00810F85" w:rsidRDefault="00284FA2" w:rsidP="00284FA2">
      <w:pPr>
        <w:jc w:val="both"/>
      </w:pPr>
      <w:r w:rsidRPr="00810F85">
        <w:t xml:space="preserve">De esta Manera, la normativa antes señalada, define tres componentes principales del FCM: recaudación, distribución y mecanismos de estabilización </w:t>
      </w:r>
      <w:sdt>
        <w:sdtPr>
          <w:id w:val="-480769871"/>
          <w:citation/>
        </w:sdtPr>
        <w:sdtEndPr/>
        <w:sdtContent>
          <w:r w:rsidRPr="00810F85">
            <w:fldChar w:fldCharType="begin"/>
          </w:r>
          <w:r w:rsidRPr="00810F85">
            <w:instrText xml:space="preserve"> CITATION Dia11 \l 13322 </w:instrText>
          </w:r>
          <w:r w:rsidRPr="00810F85">
            <w:fldChar w:fldCharType="separate"/>
          </w:r>
          <w:r w:rsidR="00A06373" w:rsidRPr="00810F85">
            <w:rPr>
              <w:b/>
              <w:bCs/>
              <w:noProof/>
              <w:lang w:val="es-ES"/>
            </w:rPr>
            <w:t>Fuente especificada no válida.</w:t>
          </w:r>
          <w:r w:rsidRPr="00810F85">
            <w:fldChar w:fldCharType="end"/>
          </w:r>
        </w:sdtContent>
      </w:sdt>
      <w:r w:rsidRPr="00810F85">
        <w:t>.</w:t>
      </w:r>
    </w:p>
    <w:p w14:paraId="6E2B3607" w14:textId="77777777" w:rsidR="00284FA2" w:rsidRPr="00810F85" w:rsidRDefault="00284FA2" w:rsidP="00284FA2">
      <w:pPr>
        <w:jc w:val="both"/>
      </w:pPr>
    </w:p>
    <w:p w14:paraId="0AC493AC" w14:textId="77777777" w:rsidR="00284FA2" w:rsidRPr="00810F85" w:rsidRDefault="00284FA2" w:rsidP="00284FA2">
      <w:pPr>
        <w:jc w:val="both"/>
      </w:pPr>
      <w:r w:rsidRPr="00810F85">
        <w:rPr>
          <w:b/>
          <w:i/>
        </w:rPr>
        <w:t>Respecto a la Recaudación:</w:t>
      </w:r>
      <w:r w:rsidRPr="00810F85">
        <w:t xml:space="preserve"> El FCM integra fondos provenientes del gobierno central y de los municipios, siendo estos el principal componente del mecanismo.</w:t>
      </w:r>
    </w:p>
    <w:p w14:paraId="3261DAF8" w14:textId="77777777" w:rsidR="00284FA2" w:rsidRPr="00810F85" w:rsidRDefault="00284FA2" w:rsidP="00284FA2">
      <w:pPr>
        <w:jc w:val="both"/>
      </w:pPr>
    </w:p>
    <w:p w14:paraId="6F1A1962" w14:textId="77777777" w:rsidR="00284FA2" w:rsidRDefault="00284FA2" w:rsidP="0052143A">
      <w:pPr>
        <w:numPr>
          <w:ilvl w:val="0"/>
          <w:numId w:val="6"/>
        </w:numPr>
        <w:contextualSpacing/>
        <w:jc w:val="both"/>
      </w:pPr>
      <w:r w:rsidRPr="00810F85">
        <w:t xml:space="preserve">El aporte fiscal, de acuerdo a los establecido en la Ley 18.695 Orgánica Constitucional de Municipalidades (art. 14, Nro 5), se compone de </w:t>
      </w:r>
      <w:sdt>
        <w:sdtPr>
          <w:id w:val="-463265772"/>
          <w:citation/>
        </w:sdtPr>
        <w:sdtEndPr/>
        <w:sdtContent>
          <w:r w:rsidRPr="00810F85">
            <w:fldChar w:fldCharType="begin"/>
          </w:r>
          <w:r w:rsidRPr="00810F85">
            <w:instrText xml:space="preserve"> CITATION Dia11 \l 13322 </w:instrText>
          </w:r>
          <w:r w:rsidRPr="00810F85">
            <w:fldChar w:fldCharType="separate"/>
          </w:r>
          <w:r w:rsidR="00A06373" w:rsidRPr="00810F85">
            <w:rPr>
              <w:b/>
              <w:bCs/>
              <w:noProof/>
              <w:lang w:val="es-ES"/>
            </w:rPr>
            <w:t>Fuente especificada no válida.</w:t>
          </w:r>
          <w:r w:rsidRPr="00810F85">
            <w:fldChar w:fldCharType="end"/>
          </w:r>
        </w:sdtContent>
      </w:sdt>
      <w:r w:rsidRPr="00810F85">
        <w:t>:</w:t>
      </w:r>
    </w:p>
    <w:p w14:paraId="574CB4C5" w14:textId="77777777" w:rsidR="00E50D6E" w:rsidRPr="00810F85" w:rsidRDefault="00E50D6E" w:rsidP="00E50D6E">
      <w:pPr>
        <w:ind w:left="720"/>
        <w:contextualSpacing/>
        <w:jc w:val="both"/>
      </w:pPr>
    </w:p>
    <w:p w14:paraId="34BFC042" w14:textId="77777777" w:rsidR="00284FA2" w:rsidRDefault="00284FA2" w:rsidP="0052143A">
      <w:pPr>
        <w:numPr>
          <w:ilvl w:val="1"/>
          <w:numId w:val="6"/>
        </w:numPr>
        <w:contextualSpacing/>
        <w:jc w:val="both"/>
      </w:pPr>
      <w:r w:rsidRPr="00810F85">
        <w:t>Aporte Anual de pesos, equivalente a 218 unidades tributarias mensuales (UTM)</w:t>
      </w:r>
    </w:p>
    <w:p w14:paraId="3B3F83E3" w14:textId="77777777" w:rsidR="00E50D6E" w:rsidRPr="00810F85" w:rsidRDefault="00E50D6E" w:rsidP="00E50D6E">
      <w:pPr>
        <w:ind w:left="1440"/>
        <w:contextualSpacing/>
        <w:jc w:val="both"/>
      </w:pPr>
    </w:p>
    <w:p w14:paraId="0EB36220" w14:textId="77777777" w:rsidR="00284FA2" w:rsidRDefault="00284FA2" w:rsidP="0052143A">
      <w:pPr>
        <w:numPr>
          <w:ilvl w:val="1"/>
          <w:numId w:val="6"/>
        </w:numPr>
        <w:contextualSpacing/>
        <w:jc w:val="both"/>
      </w:pPr>
      <w:r w:rsidRPr="00810F85">
        <w:t>Impuesto territorial de los inmuebles fiscales afectos a dicho impuesto, cuya recaudación se aporta integralmente al fondo.</w:t>
      </w:r>
    </w:p>
    <w:p w14:paraId="12C8241E" w14:textId="77777777" w:rsidR="00E50D6E" w:rsidRPr="00810F85" w:rsidRDefault="00E50D6E" w:rsidP="00E50D6E">
      <w:pPr>
        <w:contextualSpacing/>
        <w:jc w:val="both"/>
      </w:pPr>
    </w:p>
    <w:p w14:paraId="231E591C" w14:textId="77777777" w:rsidR="00284FA2" w:rsidRPr="00810F85" w:rsidRDefault="00284FA2" w:rsidP="00284FA2">
      <w:pPr>
        <w:ind w:left="720"/>
        <w:jc w:val="both"/>
      </w:pPr>
    </w:p>
    <w:p w14:paraId="5E4D4237" w14:textId="77777777" w:rsidR="00284FA2" w:rsidRDefault="00284FA2" w:rsidP="0052143A">
      <w:pPr>
        <w:numPr>
          <w:ilvl w:val="0"/>
          <w:numId w:val="6"/>
        </w:numPr>
        <w:contextualSpacing/>
        <w:jc w:val="both"/>
      </w:pPr>
      <w:r w:rsidRPr="00810F85">
        <w:t>El aporte municipal se compone de (en orden decreciente):</w:t>
      </w:r>
    </w:p>
    <w:p w14:paraId="54F216EA" w14:textId="77777777" w:rsidR="00E50D6E" w:rsidRPr="00810F85" w:rsidRDefault="00E50D6E" w:rsidP="00E50D6E">
      <w:pPr>
        <w:ind w:left="720"/>
        <w:contextualSpacing/>
        <w:jc w:val="both"/>
      </w:pPr>
    </w:p>
    <w:p w14:paraId="6665EE2A" w14:textId="77777777" w:rsidR="00284FA2" w:rsidRDefault="00284FA2" w:rsidP="0052143A">
      <w:pPr>
        <w:numPr>
          <w:ilvl w:val="1"/>
          <w:numId w:val="6"/>
        </w:numPr>
        <w:contextualSpacing/>
        <w:jc w:val="both"/>
      </w:pPr>
      <w:r w:rsidRPr="00810F85">
        <w:rPr>
          <w:b/>
        </w:rPr>
        <w:t>Impuesto Territorial.</w:t>
      </w:r>
      <w:r w:rsidRPr="00810F85">
        <w:t xml:space="preserve"> Los municipios de Santiago, Providencia, Vitacura y Las Condes aportan el 65% obtenido en la recaudación del impuesto territorial de sus comunas, mientras que los municipios restantes aportan el 60% de lo recaudado.</w:t>
      </w:r>
    </w:p>
    <w:p w14:paraId="6F6EB552" w14:textId="77777777" w:rsidR="00E50D6E" w:rsidRPr="00810F85" w:rsidRDefault="00E50D6E" w:rsidP="00E50D6E">
      <w:pPr>
        <w:ind w:left="1440"/>
        <w:contextualSpacing/>
        <w:jc w:val="both"/>
      </w:pPr>
    </w:p>
    <w:p w14:paraId="052EF27E" w14:textId="77777777" w:rsidR="00284FA2" w:rsidRDefault="00284FA2" w:rsidP="0052143A">
      <w:pPr>
        <w:numPr>
          <w:ilvl w:val="1"/>
          <w:numId w:val="6"/>
        </w:numPr>
        <w:contextualSpacing/>
        <w:jc w:val="both"/>
      </w:pPr>
      <w:r w:rsidRPr="00810F85">
        <w:rPr>
          <w:b/>
        </w:rPr>
        <w:lastRenderedPageBreak/>
        <w:t>Permisos de Circulación.</w:t>
      </w:r>
      <w:r w:rsidRPr="00810F85">
        <w:t xml:space="preserve"> de manera pareja todos lo municipios aportan el 62,5% de lo recaudado por derechos de permisos de circulación extendidos en la comuna.</w:t>
      </w:r>
    </w:p>
    <w:p w14:paraId="75198E3B" w14:textId="77777777" w:rsidR="00E50D6E" w:rsidRPr="00810F85" w:rsidRDefault="00E50D6E" w:rsidP="00E50D6E">
      <w:pPr>
        <w:contextualSpacing/>
        <w:jc w:val="both"/>
      </w:pPr>
    </w:p>
    <w:p w14:paraId="7072720E" w14:textId="77777777" w:rsidR="00284FA2" w:rsidRDefault="00284FA2" w:rsidP="0052143A">
      <w:pPr>
        <w:numPr>
          <w:ilvl w:val="1"/>
          <w:numId w:val="6"/>
        </w:numPr>
        <w:contextualSpacing/>
        <w:jc w:val="both"/>
      </w:pPr>
      <w:r w:rsidRPr="00810F85">
        <w:rPr>
          <w:b/>
        </w:rPr>
        <w:t>Transferencia de Vehículos con permisos de circulación.</w:t>
      </w:r>
      <w:r w:rsidRPr="00810F85">
        <w:t xml:space="preserve"> Todos los Municipios aportan el 50% del 1% del valor de las transferencias realizadas.</w:t>
      </w:r>
    </w:p>
    <w:p w14:paraId="718E7067" w14:textId="77777777" w:rsidR="00E50D6E" w:rsidRPr="00810F85" w:rsidRDefault="00E50D6E" w:rsidP="00E50D6E">
      <w:pPr>
        <w:contextualSpacing/>
        <w:jc w:val="both"/>
      </w:pPr>
    </w:p>
    <w:p w14:paraId="007B2039" w14:textId="77777777" w:rsidR="00284FA2" w:rsidRDefault="00284FA2" w:rsidP="0052143A">
      <w:pPr>
        <w:numPr>
          <w:ilvl w:val="1"/>
          <w:numId w:val="6"/>
        </w:numPr>
        <w:contextualSpacing/>
        <w:jc w:val="both"/>
      </w:pPr>
      <w:r w:rsidRPr="00810F85">
        <w:rPr>
          <w:b/>
        </w:rPr>
        <w:t>Patentes comerciales y de alcoholes</w:t>
      </w:r>
      <w:r w:rsidRPr="00810F85">
        <w:t xml:space="preserve">. En donde el municipio de </w:t>
      </w:r>
      <w:r w:rsidR="004D6960" w:rsidRPr="00810F85">
        <w:t>Santiago</w:t>
      </w:r>
      <w:r w:rsidRPr="00810F85">
        <w:t xml:space="preserve"> aporta el 55% de lo recaudado; Providencia, Vitacura y Las Condes el 65%; y los 341 municipios restantes 0%.</w:t>
      </w:r>
    </w:p>
    <w:p w14:paraId="0E8FE77A" w14:textId="77777777" w:rsidR="00E50D6E" w:rsidRPr="00810F85" w:rsidRDefault="00E50D6E" w:rsidP="00E50D6E">
      <w:pPr>
        <w:contextualSpacing/>
        <w:jc w:val="both"/>
      </w:pPr>
    </w:p>
    <w:p w14:paraId="41AFF2B6" w14:textId="77777777" w:rsidR="00284FA2" w:rsidRDefault="00284FA2" w:rsidP="0052143A">
      <w:pPr>
        <w:numPr>
          <w:ilvl w:val="1"/>
          <w:numId w:val="6"/>
        </w:numPr>
        <w:contextualSpacing/>
        <w:jc w:val="both"/>
      </w:pPr>
      <w:r w:rsidRPr="00810F85">
        <w:rPr>
          <w:b/>
        </w:rPr>
        <w:t>Multas cursadas por fotorradares</w:t>
      </w:r>
      <w:r w:rsidRPr="00810F85">
        <w:t>. todos los municipios aportan el 100% de lo recaudado por multas de tránsito detectadas por fotorradares, salvo infracciones al artículo 118 bis de la ley 19.290 (aportan 70% al fondo) e infracciones al primer inciso del artículo 114 del DFL N° I del Ministerio de Justicia de 2007 (aportan 50%al fondo).</w:t>
      </w:r>
    </w:p>
    <w:p w14:paraId="15FF08B9" w14:textId="77777777" w:rsidR="00E50D6E" w:rsidRPr="00810F85" w:rsidRDefault="00E50D6E" w:rsidP="00E50D6E">
      <w:pPr>
        <w:contextualSpacing/>
        <w:jc w:val="both"/>
      </w:pPr>
    </w:p>
    <w:p w14:paraId="73FE5FD8" w14:textId="77777777" w:rsidR="00284FA2" w:rsidRPr="00810F85" w:rsidRDefault="00284FA2" w:rsidP="0052143A">
      <w:pPr>
        <w:numPr>
          <w:ilvl w:val="1"/>
          <w:numId w:val="6"/>
        </w:numPr>
        <w:contextualSpacing/>
        <w:jc w:val="both"/>
      </w:pPr>
      <w:r w:rsidRPr="00810F85">
        <w:rPr>
          <w:b/>
        </w:rPr>
        <w:t>Aporte Adicional.</w:t>
      </w:r>
      <w:r w:rsidRPr="00810F85">
        <w:t xml:space="preserve"> los municip</w:t>
      </w:r>
      <w:r w:rsidR="004D6960" w:rsidRPr="00810F85">
        <w:t>ios de Providencia, Vitacura y L</w:t>
      </w:r>
      <w:r w:rsidRPr="00810F85">
        <w:t xml:space="preserve">as </w:t>
      </w:r>
      <w:r w:rsidR="004D6960" w:rsidRPr="00810F85">
        <w:t>C</w:t>
      </w:r>
      <w:r w:rsidRPr="00810F85">
        <w:t>ondes realizan un aporte anual adicional de 70.000 UTM, distribuidas entre ellas de acuerdo al rendimiento del impuesto territorial del año anterior al cálculo. los municipios afectados pueden eximir un monto de este pago, equivalente al aporte efectuado en el mismo año de la corporación cultural de la municipalidad de Santiago.</w:t>
      </w:r>
    </w:p>
    <w:p w14:paraId="00AFDBFB" w14:textId="77777777" w:rsidR="00284FA2" w:rsidRPr="00810F85" w:rsidRDefault="00284FA2" w:rsidP="00284FA2">
      <w:pPr>
        <w:jc w:val="both"/>
      </w:pPr>
    </w:p>
    <w:p w14:paraId="7596DF0F" w14:textId="77777777" w:rsidR="002365A2" w:rsidRPr="00810F85" w:rsidRDefault="002365A2" w:rsidP="00284FA2">
      <w:pPr>
        <w:jc w:val="both"/>
      </w:pPr>
      <w:r w:rsidRPr="00810F85">
        <w:rPr>
          <w:highlight w:val="yellow"/>
        </w:rPr>
        <w:t>Colocar cuadro de cómo se representa el fondo</w:t>
      </w:r>
      <w:r w:rsidR="007538D3" w:rsidRPr="00810F85">
        <w:t xml:space="preserve">. </w:t>
      </w:r>
    </w:p>
    <w:p w14:paraId="37F8291A" w14:textId="77777777" w:rsidR="007538D3" w:rsidRPr="00810F85" w:rsidRDefault="007538D3" w:rsidP="00284FA2">
      <w:pPr>
        <w:jc w:val="both"/>
      </w:pPr>
      <w:r w:rsidRPr="00810F85">
        <w:t>Elaboración propia.</w:t>
      </w:r>
    </w:p>
    <w:p w14:paraId="464DA9FB" w14:textId="77777777" w:rsidR="002365A2" w:rsidRPr="00810F85" w:rsidRDefault="002365A2" w:rsidP="00284FA2">
      <w:pPr>
        <w:jc w:val="both"/>
      </w:pPr>
    </w:p>
    <w:p w14:paraId="2C7ECC5D" w14:textId="77777777" w:rsidR="002365A2" w:rsidRPr="00810F85" w:rsidRDefault="002365A2" w:rsidP="00284FA2">
      <w:pPr>
        <w:jc w:val="both"/>
      </w:pPr>
    </w:p>
    <w:p w14:paraId="1772DEE2" w14:textId="77777777" w:rsidR="00284FA2" w:rsidRPr="00810F85" w:rsidRDefault="00284FA2" w:rsidP="00284FA2">
      <w:pPr>
        <w:jc w:val="both"/>
      </w:pPr>
      <w:r w:rsidRPr="00810F85">
        <w:rPr>
          <w:b/>
          <w:i/>
        </w:rPr>
        <w:t>Respecto a la Distribución:</w:t>
      </w:r>
      <w:r w:rsidRPr="00810F85">
        <w:t xml:space="preserve"> se calcula anualmente un Coeficiente de Participación en el FCM (CFCM), para asignar los montos a cada municipio. Este coeficiente se desarrolla a partir de 4 indicadores, a lo que se les asigna un peso relativo diferente, según las fórmulas de cálculo que se encuentran definidas en el “reglamento para la aplicación del artículo 38 de decreto de ley n°3.063, de 1979, modificado por el artículo I° de la ley n° 20.237”.</w:t>
      </w:r>
    </w:p>
    <w:p w14:paraId="2CDD4870" w14:textId="77777777" w:rsidR="00284FA2" w:rsidRPr="00810F85" w:rsidRDefault="00284FA2" w:rsidP="00284FA2">
      <w:pPr>
        <w:jc w:val="both"/>
      </w:pPr>
    </w:p>
    <w:p w14:paraId="4030BD57" w14:textId="77777777" w:rsidR="00284FA2" w:rsidRPr="00810F85" w:rsidRDefault="00284FA2" w:rsidP="00284FA2">
      <w:pPr>
        <w:jc w:val="both"/>
      </w:pPr>
      <w:r w:rsidRPr="00810F85">
        <w:t>Estos indicadores son:</w:t>
      </w:r>
    </w:p>
    <w:p w14:paraId="28DC857A" w14:textId="77777777" w:rsidR="00284FA2" w:rsidRPr="00810F85" w:rsidRDefault="00284FA2" w:rsidP="0052143A">
      <w:pPr>
        <w:numPr>
          <w:ilvl w:val="0"/>
          <w:numId w:val="7"/>
        </w:numPr>
        <w:contextualSpacing/>
        <w:jc w:val="both"/>
      </w:pPr>
      <w:r w:rsidRPr="00810F85">
        <w:t>indicador de partes iguales entre comunas del país (IPI), 25% del CFCM.</w:t>
      </w:r>
    </w:p>
    <w:p w14:paraId="2EF96F1D" w14:textId="77777777" w:rsidR="00284FA2" w:rsidRPr="00810F85" w:rsidRDefault="00284FA2" w:rsidP="0052143A">
      <w:pPr>
        <w:numPr>
          <w:ilvl w:val="0"/>
          <w:numId w:val="7"/>
        </w:numPr>
        <w:contextualSpacing/>
        <w:jc w:val="both"/>
      </w:pPr>
      <w:r w:rsidRPr="00810F85">
        <w:t>Indicador de número de pobres de la comuna (IPC), 10% del CFCM. El cual se basa en la proporción de personas pobres en la comuna, estimado según la encuesta de caracterización socioeconómica nacional (CASEN). Se pondera en relación a la población de personas en situación de pobreza del país.</w:t>
      </w:r>
    </w:p>
    <w:p w14:paraId="3228848D" w14:textId="77777777" w:rsidR="00284FA2" w:rsidRPr="00810F85" w:rsidRDefault="00284FA2" w:rsidP="0052143A">
      <w:pPr>
        <w:numPr>
          <w:ilvl w:val="0"/>
          <w:numId w:val="7"/>
        </w:numPr>
        <w:contextualSpacing/>
        <w:jc w:val="both"/>
      </w:pPr>
      <w:r w:rsidRPr="00810F85">
        <w:t>indicador de número de predios exentos de impuestos en la comuna (IXC), 30% del CFCM. En donde se calcula la proporción de predios exentos de impuestos en relación al total de predios de la comuna. Ponderado por la proporción de predios exentos de la comuna en relación al total de predios exentos del país.</w:t>
      </w:r>
    </w:p>
    <w:p w14:paraId="5771E6F8" w14:textId="77777777" w:rsidR="00284FA2" w:rsidRPr="00810F85" w:rsidRDefault="00284FA2" w:rsidP="0052143A">
      <w:pPr>
        <w:numPr>
          <w:ilvl w:val="0"/>
          <w:numId w:val="7"/>
        </w:numPr>
        <w:contextualSpacing/>
        <w:jc w:val="both"/>
      </w:pPr>
      <w:r w:rsidRPr="00810F85">
        <w:lastRenderedPageBreak/>
        <w:t>indicación de menores ingresos propios por habitantes (IIP), 35% de CFCM.</w:t>
      </w:r>
    </w:p>
    <w:p w14:paraId="47B69874" w14:textId="77777777" w:rsidR="00284FA2" w:rsidRPr="00810F85" w:rsidRDefault="00284FA2" w:rsidP="00284FA2">
      <w:pPr>
        <w:jc w:val="both"/>
      </w:pPr>
    </w:p>
    <w:p w14:paraId="4303643F" w14:textId="77777777" w:rsidR="00284FA2" w:rsidRPr="00810F85" w:rsidRDefault="00284FA2" w:rsidP="00284FA2">
      <w:pPr>
        <w:jc w:val="both"/>
      </w:pPr>
    </w:p>
    <w:p w14:paraId="74299103" w14:textId="77777777" w:rsidR="00284FA2" w:rsidRPr="00810F85" w:rsidRDefault="00284FA2" w:rsidP="00284FA2">
      <w:pPr>
        <w:jc w:val="both"/>
      </w:pPr>
    </w:p>
    <w:p w14:paraId="79AD0EE8" w14:textId="77777777" w:rsidR="00284FA2" w:rsidRPr="00810F85" w:rsidRDefault="00284FA2" w:rsidP="00284FA2">
      <w:pPr>
        <w:jc w:val="both"/>
      </w:pPr>
      <w:r w:rsidRPr="00810F85">
        <w:rPr>
          <w:b/>
        </w:rPr>
        <w:t>Respecto a la Estabilización:</w:t>
      </w:r>
      <w:r w:rsidRPr="00810F85">
        <w:t xml:space="preserve"> si los ingresos del FCM son menores que los estimados para el año, la diferencia podrá ser compensada total o parcialmente de acuerdo a un mecanismo de estabilización, que se calcula de forma diferenciada, dependiendo si el monto total de las reducciones es menor o mayor que el monto total de los incrementos de las comunas con recursos adicionales.</w:t>
      </w:r>
    </w:p>
    <w:p w14:paraId="7F21CCFE" w14:textId="77777777" w:rsidR="00284FA2" w:rsidRPr="00810F85" w:rsidRDefault="00284FA2" w:rsidP="00284FA2">
      <w:pPr>
        <w:jc w:val="both"/>
      </w:pPr>
    </w:p>
    <w:p w14:paraId="4EC23012" w14:textId="77777777" w:rsidR="00284FA2" w:rsidRPr="00810F85" w:rsidRDefault="00284FA2" w:rsidP="00284FA2">
      <w:pPr>
        <w:jc w:val="both"/>
      </w:pPr>
    </w:p>
    <w:p w14:paraId="0ABB0FDD" w14:textId="77777777" w:rsidR="0014000C" w:rsidRPr="00810F85" w:rsidRDefault="0014000C" w:rsidP="0014000C"/>
    <w:p w14:paraId="455C4549" w14:textId="77777777" w:rsidR="0014000C" w:rsidRPr="00810F85" w:rsidRDefault="00F458C3" w:rsidP="0052143A">
      <w:pPr>
        <w:pStyle w:val="Ttulo2"/>
        <w:numPr>
          <w:ilvl w:val="1"/>
          <w:numId w:val="1"/>
        </w:numPr>
        <w:rPr>
          <w:rFonts w:ascii="Arial" w:hAnsi="Arial" w:cs="Arial"/>
          <w:b/>
          <w:color w:val="auto"/>
          <w:sz w:val="22"/>
          <w:szCs w:val="22"/>
        </w:rPr>
      </w:pPr>
      <w:bookmarkStart w:id="8" w:name="_Toc530596784"/>
      <w:r w:rsidRPr="00810F85">
        <w:rPr>
          <w:rFonts w:ascii="Arial" w:hAnsi="Arial" w:cs="Arial"/>
          <w:b/>
          <w:color w:val="auto"/>
          <w:sz w:val="22"/>
          <w:szCs w:val="22"/>
        </w:rPr>
        <w:t>¿</w:t>
      </w:r>
      <w:r w:rsidR="00897760" w:rsidRPr="00810F85">
        <w:rPr>
          <w:rFonts w:ascii="Arial" w:hAnsi="Arial" w:cs="Arial"/>
          <w:b/>
          <w:color w:val="auto"/>
          <w:sz w:val="22"/>
          <w:szCs w:val="22"/>
        </w:rPr>
        <w:t>Cómo se paga el Impuesto Territorial</w:t>
      </w:r>
      <w:r w:rsidRPr="00810F85">
        <w:rPr>
          <w:rFonts w:ascii="Arial" w:hAnsi="Arial" w:cs="Arial"/>
          <w:b/>
          <w:color w:val="auto"/>
          <w:sz w:val="22"/>
          <w:szCs w:val="22"/>
        </w:rPr>
        <w:t>?</w:t>
      </w:r>
      <w:bookmarkEnd w:id="8"/>
    </w:p>
    <w:p w14:paraId="7FDADD9A" w14:textId="77777777" w:rsidR="00FE2E44" w:rsidRPr="00810F85" w:rsidRDefault="00FE2E44" w:rsidP="00FE2E44"/>
    <w:p w14:paraId="0A746638" w14:textId="77777777" w:rsidR="00F458C3" w:rsidRPr="00810F85" w:rsidRDefault="00F458C3" w:rsidP="00F458C3">
      <w:pPr>
        <w:jc w:val="both"/>
      </w:pPr>
      <w:r w:rsidRPr="00810F85">
        <w:t>Es el impuesto que grava a los bienes raíces según el avalúo fiscal que es determinado por el Servicio de Impuestos Internos. El pago se realiza a través del Formulario N°30.</w:t>
      </w:r>
    </w:p>
    <w:p w14:paraId="2E821CD4" w14:textId="77777777" w:rsidR="00F458C3" w:rsidRPr="00810F85" w:rsidRDefault="00F458C3" w:rsidP="00F458C3">
      <w:pPr>
        <w:jc w:val="both"/>
      </w:pPr>
    </w:p>
    <w:p w14:paraId="5098CA7B" w14:textId="77777777" w:rsidR="00F458C3" w:rsidRPr="00810F85" w:rsidRDefault="00F458C3" w:rsidP="00F458C3">
      <w:pPr>
        <w:jc w:val="both"/>
      </w:pPr>
      <w:r w:rsidRPr="00810F85">
        <w:t>El valor anual es dividido en 4 cuotas:</w:t>
      </w:r>
    </w:p>
    <w:p w14:paraId="109CA5E1" w14:textId="77777777" w:rsidR="00F458C3" w:rsidRPr="00810F85" w:rsidRDefault="00F458C3" w:rsidP="00FE2E44"/>
    <w:tbl>
      <w:tblPr>
        <w:tblW w:w="4220" w:type="dxa"/>
        <w:tblCellMar>
          <w:left w:w="70" w:type="dxa"/>
          <w:right w:w="70" w:type="dxa"/>
        </w:tblCellMar>
        <w:tblLook w:val="04A0" w:firstRow="1" w:lastRow="0" w:firstColumn="1" w:lastColumn="0" w:noHBand="0" w:noVBand="1"/>
      </w:tblPr>
      <w:tblGrid>
        <w:gridCol w:w="1200"/>
        <w:gridCol w:w="1480"/>
        <w:gridCol w:w="1540"/>
      </w:tblGrid>
      <w:tr w:rsidR="00B512F6" w:rsidRPr="00810F85" w14:paraId="41A34738" w14:textId="77777777" w:rsidTr="00B512F6">
        <w:trPr>
          <w:trHeight w:val="900"/>
        </w:trPr>
        <w:tc>
          <w:tcPr>
            <w:tcW w:w="1200" w:type="dxa"/>
            <w:tcBorders>
              <w:top w:val="single" w:sz="4" w:space="0" w:color="FFFFFF"/>
              <w:left w:val="single" w:sz="4" w:space="0" w:color="FFFFFF"/>
              <w:bottom w:val="single" w:sz="4" w:space="0" w:color="FFFFFF"/>
              <w:right w:val="single" w:sz="4" w:space="0" w:color="FFFFFF"/>
            </w:tcBorders>
            <w:shd w:val="clear" w:color="000000" w:fill="A6A6A6"/>
            <w:noWrap/>
            <w:vAlign w:val="center"/>
            <w:hideMark/>
          </w:tcPr>
          <w:p w14:paraId="6494705E" w14:textId="77777777" w:rsidR="00B512F6" w:rsidRPr="00810F85" w:rsidRDefault="00B512F6" w:rsidP="00B512F6">
            <w:pPr>
              <w:spacing w:line="240" w:lineRule="auto"/>
              <w:rPr>
                <w:rFonts w:eastAsia="Times New Roman"/>
                <w:b/>
                <w:bCs/>
              </w:rPr>
            </w:pPr>
            <w:r w:rsidRPr="00810F85">
              <w:rPr>
                <w:rFonts w:eastAsia="Times New Roman"/>
                <w:b/>
                <w:bCs/>
              </w:rPr>
              <w:t>N° de Cuota</w:t>
            </w:r>
          </w:p>
        </w:tc>
        <w:tc>
          <w:tcPr>
            <w:tcW w:w="1480" w:type="dxa"/>
            <w:tcBorders>
              <w:top w:val="single" w:sz="4" w:space="0" w:color="FFFFFF"/>
              <w:left w:val="nil"/>
              <w:bottom w:val="single" w:sz="4" w:space="0" w:color="FFFFFF"/>
              <w:right w:val="single" w:sz="4" w:space="0" w:color="FFFFFF"/>
            </w:tcBorders>
            <w:shd w:val="clear" w:color="000000" w:fill="A6A6A6"/>
            <w:vAlign w:val="center"/>
            <w:hideMark/>
          </w:tcPr>
          <w:p w14:paraId="2DA7B8DD" w14:textId="77777777" w:rsidR="00B512F6" w:rsidRPr="00810F85" w:rsidRDefault="00B512F6" w:rsidP="00B512F6">
            <w:pPr>
              <w:spacing w:line="240" w:lineRule="auto"/>
              <w:rPr>
                <w:rFonts w:eastAsia="Times New Roman"/>
                <w:b/>
                <w:bCs/>
              </w:rPr>
            </w:pPr>
            <w:r w:rsidRPr="00810F85">
              <w:rPr>
                <w:rFonts w:eastAsia="Times New Roman"/>
                <w:b/>
                <w:bCs/>
              </w:rPr>
              <w:t>Vencimiento de pago</w:t>
            </w:r>
          </w:p>
        </w:tc>
        <w:tc>
          <w:tcPr>
            <w:tcW w:w="1540" w:type="dxa"/>
            <w:tcBorders>
              <w:top w:val="single" w:sz="4" w:space="0" w:color="FFFFFF"/>
              <w:left w:val="nil"/>
              <w:bottom w:val="single" w:sz="4" w:space="0" w:color="FFFFFF"/>
              <w:right w:val="single" w:sz="4" w:space="0" w:color="FFFFFF"/>
            </w:tcBorders>
            <w:shd w:val="clear" w:color="000000" w:fill="A6A6A6"/>
            <w:vAlign w:val="center"/>
            <w:hideMark/>
          </w:tcPr>
          <w:p w14:paraId="166BD3A6" w14:textId="77777777" w:rsidR="00B512F6" w:rsidRPr="00810F85" w:rsidRDefault="00B512F6" w:rsidP="00B512F6">
            <w:pPr>
              <w:spacing w:line="240" w:lineRule="auto"/>
              <w:rPr>
                <w:rFonts w:eastAsia="Times New Roman"/>
                <w:b/>
                <w:bCs/>
              </w:rPr>
            </w:pPr>
            <w:r w:rsidRPr="00810F85">
              <w:rPr>
                <w:rFonts w:eastAsia="Times New Roman"/>
                <w:b/>
                <w:bCs/>
              </w:rPr>
              <w:t>Meses que corresponde la cuota</w:t>
            </w:r>
          </w:p>
        </w:tc>
      </w:tr>
      <w:tr w:rsidR="00B512F6" w:rsidRPr="00810F85" w14:paraId="2C896B3C" w14:textId="77777777" w:rsidTr="00B512F6">
        <w:trPr>
          <w:trHeight w:val="300"/>
        </w:trPr>
        <w:tc>
          <w:tcPr>
            <w:tcW w:w="1200" w:type="dxa"/>
            <w:vMerge w:val="restart"/>
            <w:tcBorders>
              <w:top w:val="nil"/>
              <w:left w:val="single" w:sz="4" w:space="0" w:color="A6A6A6"/>
              <w:bottom w:val="single" w:sz="4" w:space="0" w:color="A6A6A6"/>
              <w:right w:val="single" w:sz="4" w:space="0" w:color="A6A6A6"/>
            </w:tcBorders>
            <w:shd w:val="clear" w:color="auto" w:fill="auto"/>
            <w:noWrap/>
            <w:vAlign w:val="center"/>
            <w:hideMark/>
          </w:tcPr>
          <w:p w14:paraId="2FF006DC" w14:textId="77777777" w:rsidR="00B512F6" w:rsidRPr="00810F85" w:rsidRDefault="00B512F6" w:rsidP="00B512F6">
            <w:pPr>
              <w:spacing w:line="240" w:lineRule="auto"/>
              <w:jc w:val="center"/>
              <w:rPr>
                <w:rFonts w:eastAsia="Times New Roman"/>
              </w:rPr>
            </w:pPr>
            <w:r w:rsidRPr="00810F85">
              <w:rPr>
                <w:rFonts w:eastAsia="Times New Roman"/>
              </w:rPr>
              <w:t>1</w:t>
            </w:r>
          </w:p>
        </w:tc>
        <w:tc>
          <w:tcPr>
            <w:tcW w:w="1480" w:type="dxa"/>
            <w:vMerge w:val="restart"/>
            <w:tcBorders>
              <w:top w:val="nil"/>
              <w:left w:val="single" w:sz="4" w:space="0" w:color="A6A6A6"/>
              <w:bottom w:val="single" w:sz="4" w:space="0" w:color="A6A6A6"/>
              <w:right w:val="single" w:sz="4" w:space="0" w:color="A6A6A6"/>
            </w:tcBorders>
            <w:shd w:val="clear" w:color="auto" w:fill="auto"/>
            <w:vAlign w:val="center"/>
            <w:hideMark/>
          </w:tcPr>
          <w:p w14:paraId="264405C2" w14:textId="77777777" w:rsidR="00B512F6" w:rsidRPr="00810F85" w:rsidRDefault="00B512F6" w:rsidP="00B512F6">
            <w:pPr>
              <w:spacing w:line="240" w:lineRule="auto"/>
              <w:jc w:val="center"/>
              <w:rPr>
                <w:rFonts w:eastAsia="Times New Roman"/>
              </w:rPr>
            </w:pPr>
            <w:r w:rsidRPr="00810F85">
              <w:rPr>
                <w:rFonts w:eastAsia="Times New Roman"/>
              </w:rPr>
              <w:t>30 de Abril</w:t>
            </w:r>
          </w:p>
        </w:tc>
        <w:tc>
          <w:tcPr>
            <w:tcW w:w="1540" w:type="dxa"/>
            <w:tcBorders>
              <w:top w:val="nil"/>
              <w:left w:val="nil"/>
              <w:bottom w:val="single" w:sz="4" w:space="0" w:color="A6A6A6"/>
              <w:right w:val="single" w:sz="4" w:space="0" w:color="A6A6A6"/>
            </w:tcBorders>
            <w:shd w:val="clear" w:color="auto" w:fill="auto"/>
            <w:noWrap/>
            <w:vAlign w:val="bottom"/>
            <w:hideMark/>
          </w:tcPr>
          <w:p w14:paraId="1A9DA32B" w14:textId="77777777" w:rsidR="00B512F6" w:rsidRPr="00810F85" w:rsidRDefault="00B512F6" w:rsidP="00B512F6">
            <w:pPr>
              <w:spacing w:line="240" w:lineRule="auto"/>
              <w:rPr>
                <w:rFonts w:eastAsia="Times New Roman"/>
              </w:rPr>
            </w:pPr>
            <w:r w:rsidRPr="00810F85">
              <w:rPr>
                <w:rFonts w:eastAsia="Times New Roman"/>
              </w:rPr>
              <w:t>Enero</w:t>
            </w:r>
          </w:p>
        </w:tc>
      </w:tr>
      <w:tr w:rsidR="00B512F6" w:rsidRPr="00810F85" w14:paraId="63107ECB" w14:textId="77777777" w:rsidTr="00B512F6">
        <w:trPr>
          <w:trHeight w:val="300"/>
        </w:trPr>
        <w:tc>
          <w:tcPr>
            <w:tcW w:w="1200" w:type="dxa"/>
            <w:vMerge/>
            <w:tcBorders>
              <w:top w:val="nil"/>
              <w:left w:val="single" w:sz="4" w:space="0" w:color="A6A6A6"/>
              <w:bottom w:val="single" w:sz="4" w:space="0" w:color="A6A6A6"/>
              <w:right w:val="single" w:sz="4" w:space="0" w:color="A6A6A6"/>
            </w:tcBorders>
            <w:vAlign w:val="center"/>
            <w:hideMark/>
          </w:tcPr>
          <w:p w14:paraId="2EE3A2A2" w14:textId="77777777" w:rsidR="00B512F6" w:rsidRPr="00810F85" w:rsidRDefault="00B512F6" w:rsidP="00B512F6">
            <w:pPr>
              <w:spacing w:line="240" w:lineRule="auto"/>
              <w:rPr>
                <w:rFonts w:eastAsia="Times New Roman"/>
              </w:rPr>
            </w:pPr>
          </w:p>
        </w:tc>
        <w:tc>
          <w:tcPr>
            <w:tcW w:w="1480" w:type="dxa"/>
            <w:vMerge/>
            <w:tcBorders>
              <w:top w:val="nil"/>
              <w:left w:val="single" w:sz="4" w:space="0" w:color="A6A6A6"/>
              <w:bottom w:val="single" w:sz="4" w:space="0" w:color="A6A6A6"/>
              <w:right w:val="single" w:sz="4" w:space="0" w:color="A6A6A6"/>
            </w:tcBorders>
            <w:vAlign w:val="center"/>
            <w:hideMark/>
          </w:tcPr>
          <w:p w14:paraId="6DE2DF6A" w14:textId="77777777" w:rsidR="00B512F6" w:rsidRPr="00810F85" w:rsidRDefault="00B512F6" w:rsidP="00B512F6">
            <w:pPr>
              <w:spacing w:line="240" w:lineRule="auto"/>
              <w:rPr>
                <w:rFonts w:eastAsia="Times New Roman"/>
              </w:rPr>
            </w:pPr>
          </w:p>
        </w:tc>
        <w:tc>
          <w:tcPr>
            <w:tcW w:w="1540" w:type="dxa"/>
            <w:tcBorders>
              <w:top w:val="nil"/>
              <w:left w:val="nil"/>
              <w:bottom w:val="single" w:sz="4" w:space="0" w:color="A6A6A6"/>
              <w:right w:val="single" w:sz="4" w:space="0" w:color="A6A6A6"/>
            </w:tcBorders>
            <w:shd w:val="clear" w:color="auto" w:fill="auto"/>
            <w:noWrap/>
            <w:vAlign w:val="bottom"/>
            <w:hideMark/>
          </w:tcPr>
          <w:p w14:paraId="33A1D90C" w14:textId="77777777" w:rsidR="00B512F6" w:rsidRPr="00810F85" w:rsidRDefault="00B512F6" w:rsidP="00B512F6">
            <w:pPr>
              <w:spacing w:line="240" w:lineRule="auto"/>
              <w:rPr>
                <w:rFonts w:eastAsia="Times New Roman"/>
              </w:rPr>
            </w:pPr>
            <w:r w:rsidRPr="00810F85">
              <w:rPr>
                <w:rFonts w:eastAsia="Times New Roman"/>
              </w:rPr>
              <w:t>Febrero</w:t>
            </w:r>
          </w:p>
        </w:tc>
      </w:tr>
      <w:tr w:rsidR="00B512F6" w:rsidRPr="00810F85" w14:paraId="2862CA0C" w14:textId="77777777" w:rsidTr="00B512F6">
        <w:trPr>
          <w:trHeight w:val="300"/>
        </w:trPr>
        <w:tc>
          <w:tcPr>
            <w:tcW w:w="1200" w:type="dxa"/>
            <w:vMerge/>
            <w:tcBorders>
              <w:top w:val="nil"/>
              <w:left w:val="single" w:sz="4" w:space="0" w:color="A6A6A6"/>
              <w:bottom w:val="single" w:sz="4" w:space="0" w:color="A6A6A6"/>
              <w:right w:val="single" w:sz="4" w:space="0" w:color="A6A6A6"/>
            </w:tcBorders>
            <w:vAlign w:val="center"/>
            <w:hideMark/>
          </w:tcPr>
          <w:p w14:paraId="0ADD1EFF" w14:textId="77777777" w:rsidR="00B512F6" w:rsidRPr="00810F85" w:rsidRDefault="00B512F6" w:rsidP="00B512F6">
            <w:pPr>
              <w:spacing w:line="240" w:lineRule="auto"/>
              <w:rPr>
                <w:rFonts w:eastAsia="Times New Roman"/>
              </w:rPr>
            </w:pPr>
          </w:p>
        </w:tc>
        <w:tc>
          <w:tcPr>
            <w:tcW w:w="1480" w:type="dxa"/>
            <w:vMerge/>
            <w:tcBorders>
              <w:top w:val="nil"/>
              <w:left w:val="single" w:sz="4" w:space="0" w:color="A6A6A6"/>
              <w:bottom w:val="single" w:sz="4" w:space="0" w:color="A6A6A6"/>
              <w:right w:val="single" w:sz="4" w:space="0" w:color="A6A6A6"/>
            </w:tcBorders>
            <w:vAlign w:val="center"/>
            <w:hideMark/>
          </w:tcPr>
          <w:p w14:paraId="5FFAC9AB" w14:textId="77777777" w:rsidR="00B512F6" w:rsidRPr="00810F85" w:rsidRDefault="00B512F6" w:rsidP="00B512F6">
            <w:pPr>
              <w:spacing w:line="240" w:lineRule="auto"/>
              <w:rPr>
                <w:rFonts w:eastAsia="Times New Roman"/>
              </w:rPr>
            </w:pPr>
          </w:p>
        </w:tc>
        <w:tc>
          <w:tcPr>
            <w:tcW w:w="1540" w:type="dxa"/>
            <w:tcBorders>
              <w:top w:val="nil"/>
              <w:left w:val="nil"/>
              <w:bottom w:val="single" w:sz="4" w:space="0" w:color="A6A6A6"/>
              <w:right w:val="single" w:sz="4" w:space="0" w:color="A6A6A6"/>
            </w:tcBorders>
            <w:shd w:val="clear" w:color="auto" w:fill="auto"/>
            <w:noWrap/>
            <w:vAlign w:val="bottom"/>
            <w:hideMark/>
          </w:tcPr>
          <w:p w14:paraId="33178555" w14:textId="77777777" w:rsidR="00B512F6" w:rsidRPr="00810F85" w:rsidRDefault="00B512F6" w:rsidP="00B512F6">
            <w:pPr>
              <w:spacing w:line="240" w:lineRule="auto"/>
              <w:rPr>
                <w:rFonts w:eastAsia="Times New Roman"/>
              </w:rPr>
            </w:pPr>
            <w:r w:rsidRPr="00810F85">
              <w:rPr>
                <w:rFonts w:eastAsia="Times New Roman"/>
              </w:rPr>
              <w:t>Marzo</w:t>
            </w:r>
          </w:p>
        </w:tc>
      </w:tr>
      <w:tr w:rsidR="00B512F6" w:rsidRPr="00810F85" w14:paraId="36843DBE" w14:textId="77777777" w:rsidTr="00B512F6">
        <w:trPr>
          <w:trHeight w:val="300"/>
        </w:trPr>
        <w:tc>
          <w:tcPr>
            <w:tcW w:w="1200" w:type="dxa"/>
            <w:vMerge w:val="restart"/>
            <w:tcBorders>
              <w:top w:val="nil"/>
              <w:left w:val="single" w:sz="4" w:space="0" w:color="A6A6A6"/>
              <w:bottom w:val="single" w:sz="4" w:space="0" w:color="A6A6A6"/>
              <w:right w:val="single" w:sz="4" w:space="0" w:color="A6A6A6"/>
            </w:tcBorders>
            <w:shd w:val="clear" w:color="auto" w:fill="auto"/>
            <w:noWrap/>
            <w:vAlign w:val="center"/>
            <w:hideMark/>
          </w:tcPr>
          <w:p w14:paraId="70EE02BA" w14:textId="77777777" w:rsidR="00B512F6" w:rsidRPr="00810F85" w:rsidRDefault="00B512F6" w:rsidP="00B512F6">
            <w:pPr>
              <w:spacing w:line="240" w:lineRule="auto"/>
              <w:jc w:val="center"/>
              <w:rPr>
                <w:rFonts w:eastAsia="Times New Roman"/>
              </w:rPr>
            </w:pPr>
            <w:r w:rsidRPr="00810F85">
              <w:rPr>
                <w:rFonts w:eastAsia="Times New Roman"/>
              </w:rPr>
              <w:t>2</w:t>
            </w:r>
          </w:p>
        </w:tc>
        <w:tc>
          <w:tcPr>
            <w:tcW w:w="1480" w:type="dxa"/>
            <w:vMerge w:val="restart"/>
            <w:tcBorders>
              <w:top w:val="nil"/>
              <w:left w:val="single" w:sz="4" w:space="0" w:color="A6A6A6"/>
              <w:bottom w:val="single" w:sz="4" w:space="0" w:color="A6A6A6"/>
              <w:right w:val="single" w:sz="4" w:space="0" w:color="A6A6A6"/>
            </w:tcBorders>
            <w:shd w:val="clear" w:color="auto" w:fill="auto"/>
            <w:vAlign w:val="center"/>
            <w:hideMark/>
          </w:tcPr>
          <w:p w14:paraId="75EB87A3" w14:textId="77777777" w:rsidR="00B512F6" w:rsidRPr="00810F85" w:rsidRDefault="00B512F6" w:rsidP="00B512F6">
            <w:pPr>
              <w:spacing w:line="240" w:lineRule="auto"/>
              <w:jc w:val="center"/>
              <w:rPr>
                <w:rFonts w:eastAsia="Times New Roman"/>
              </w:rPr>
            </w:pPr>
            <w:r w:rsidRPr="00810F85">
              <w:rPr>
                <w:rFonts w:eastAsia="Times New Roman"/>
              </w:rPr>
              <w:t>30 de Junio</w:t>
            </w:r>
          </w:p>
        </w:tc>
        <w:tc>
          <w:tcPr>
            <w:tcW w:w="1540" w:type="dxa"/>
            <w:tcBorders>
              <w:top w:val="nil"/>
              <w:left w:val="nil"/>
              <w:bottom w:val="single" w:sz="4" w:space="0" w:color="A6A6A6"/>
              <w:right w:val="single" w:sz="4" w:space="0" w:color="A6A6A6"/>
            </w:tcBorders>
            <w:shd w:val="clear" w:color="auto" w:fill="auto"/>
            <w:noWrap/>
            <w:vAlign w:val="bottom"/>
            <w:hideMark/>
          </w:tcPr>
          <w:p w14:paraId="67BF71F9" w14:textId="77777777" w:rsidR="00B512F6" w:rsidRPr="00810F85" w:rsidRDefault="00B512F6" w:rsidP="00B512F6">
            <w:pPr>
              <w:spacing w:line="240" w:lineRule="auto"/>
              <w:rPr>
                <w:rFonts w:eastAsia="Times New Roman"/>
              </w:rPr>
            </w:pPr>
            <w:r w:rsidRPr="00810F85">
              <w:rPr>
                <w:rFonts w:eastAsia="Times New Roman"/>
              </w:rPr>
              <w:t>Abril</w:t>
            </w:r>
          </w:p>
        </w:tc>
      </w:tr>
      <w:tr w:rsidR="00B512F6" w:rsidRPr="00810F85" w14:paraId="3E0D617B" w14:textId="77777777" w:rsidTr="00B512F6">
        <w:trPr>
          <w:trHeight w:val="300"/>
        </w:trPr>
        <w:tc>
          <w:tcPr>
            <w:tcW w:w="1200" w:type="dxa"/>
            <w:vMerge/>
            <w:tcBorders>
              <w:top w:val="nil"/>
              <w:left w:val="single" w:sz="4" w:space="0" w:color="A6A6A6"/>
              <w:bottom w:val="single" w:sz="4" w:space="0" w:color="A6A6A6"/>
              <w:right w:val="single" w:sz="4" w:space="0" w:color="A6A6A6"/>
            </w:tcBorders>
            <w:vAlign w:val="center"/>
            <w:hideMark/>
          </w:tcPr>
          <w:p w14:paraId="0A41652A" w14:textId="77777777" w:rsidR="00B512F6" w:rsidRPr="00810F85" w:rsidRDefault="00B512F6" w:rsidP="00B512F6">
            <w:pPr>
              <w:spacing w:line="240" w:lineRule="auto"/>
              <w:rPr>
                <w:rFonts w:eastAsia="Times New Roman"/>
              </w:rPr>
            </w:pPr>
          </w:p>
        </w:tc>
        <w:tc>
          <w:tcPr>
            <w:tcW w:w="1480" w:type="dxa"/>
            <w:vMerge/>
            <w:tcBorders>
              <w:top w:val="nil"/>
              <w:left w:val="single" w:sz="4" w:space="0" w:color="A6A6A6"/>
              <w:bottom w:val="single" w:sz="4" w:space="0" w:color="A6A6A6"/>
              <w:right w:val="single" w:sz="4" w:space="0" w:color="A6A6A6"/>
            </w:tcBorders>
            <w:vAlign w:val="center"/>
            <w:hideMark/>
          </w:tcPr>
          <w:p w14:paraId="09D2A625" w14:textId="77777777" w:rsidR="00B512F6" w:rsidRPr="00810F85" w:rsidRDefault="00B512F6" w:rsidP="00B512F6">
            <w:pPr>
              <w:spacing w:line="240" w:lineRule="auto"/>
              <w:rPr>
                <w:rFonts w:eastAsia="Times New Roman"/>
              </w:rPr>
            </w:pPr>
          </w:p>
        </w:tc>
        <w:tc>
          <w:tcPr>
            <w:tcW w:w="1540" w:type="dxa"/>
            <w:tcBorders>
              <w:top w:val="nil"/>
              <w:left w:val="nil"/>
              <w:bottom w:val="single" w:sz="4" w:space="0" w:color="A6A6A6"/>
              <w:right w:val="single" w:sz="4" w:space="0" w:color="A6A6A6"/>
            </w:tcBorders>
            <w:shd w:val="clear" w:color="auto" w:fill="auto"/>
            <w:noWrap/>
            <w:vAlign w:val="bottom"/>
            <w:hideMark/>
          </w:tcPr>
          <w:p w14:paraId="713CA185" w14:textId="77777777" w:rsidR="00B512F6" w:rsidRPr="00810F85" w:rsidRDefault="00B512F6" w:rsidP="00B512F6">
            <w:pPr>
              <w:spacing w:line="240" w:lineRule="auto"/>
              <w:rPr>
                <w:rFonts w:eastAsia="Times New Roman"/>
              </w:rPr>
            </w:pPr>
            <w:r w:rsidRPr="00810F85">
              <w:rPr>
                <w:rFonts w:eastAsia="Times New Roman"/>
              </w:rPr>
              <w:t>Mayo</w:t>
            </w:r>
          </w:p>
        </w:tc>
      </w:tr>
      <w:tr w:rsidR="00B512F6" w:rsidRPr="00810F85" w14:paraId="65C72E09" w14:textId="77777777" w:rsidTr="00B512F6">
        <w:trPr>
          <w:trHeight w:val="300"/>
        </w:trPr>
        <w:tc>
          <w:tcPr>
            <w:tcW w:w="1200" w:type="dxa"/>
            <w:vMerge/>
            <w:tcBorders>
              <w:top w:val="nil"/>
              <w:left w:val="single" w:sz="4" w:space="0" w:color="A6A6A6"/>
              <w:bottom w:val="single" w:sz="4" w:space="0" w:color="A6A6A6"/>
              <w:right w:val="single" w:sz="4" w:space="0" w:color="A6A6A6"/>
            </w:tcBorders>
            <w:vAlign w:val="center"/>
            <w:hideMark/>
          </w:tcPr>
          <w:p w14:paraId="22617065" w14:textId="77777777" w:rsidR="00B512F6" w:rsidRPr="00810F85" w:rsidRDefault="00B512F6" w:rsidP="00B512F6">
            <w:pPr>
              <w:spacing w:line="240" w:lineRule="auto"/>
              <w:rPr>
                <w:rFonts w:eastAsia="Times New Roman"/>
              </w:rPr>
            </w:pPr>
          </w:p>
        </w:tc>
        <w:tc>
          <w:tcPr>
            <w:tcW w:w="1480" w:type="dxa"/>
            <w:vMerge/>
            <w:tcBorders>
              <w:top w:val="nil"/>
              <w:left w:val="single" w:sz="4" w:space="0" w:color="A6A6A6"/>
              <w:bottom w:val="single" w:sz="4" w:space="0" w:color="A6A6A6"/>
              <w:right w:val="single" w:sz="4" w:space="0" w:color="A6A6A6"/>
            </w:tcBorders>
            <w:vAlign w:val="center"/>
            <w:hideMark/>
          </w:tcPr>
          <w:p w14:paraId="0F219BD3" w14:textId="77777777" w:rsidR="00B512F6" w:rsidRPr="00810F85" w:rsidRDefault="00B512F6" w:rsidP="00B512F6">
            <w:pPr>
              <w:spacing w:line="240" w:lineRule="auto"/>
              <w:rPr>
                <w:rFonts w:eastAsia="Times New Roman"/>
              </w:rPr>
            </w:pPr>
          </w:p>
        </w:tc>
        <w:tc>
          <w:tcPr>
            <w:tcW w:w="1540" w:type="dxa"/>
            <w:tcBorders>
              <w:top w:val="nil"/>
              <w:left w:val="nil"/>
              <w:bottom w:val="single" w:sz="4" w:space="0" w:color="A6A6A6"/>
              <w:right w:val="single" w:sz="4" w:space="0" w:color="A6A6A6"/>
            </w:tcBorders>
            <w:shd w:val="clear" w:color="auto" w:fill="auto"/>
            <w:noWrap/>
            <w:vAlign w:val="bottom"/>
            <w:hideMark/>
          </w:tcPr>
          <w:p w14:paraId="1763ABEC" w14:textId="77777777" w:rsidR="00B512F6" w:rsidRPr="00810F85" w:rsidRDefault="00B512F6" w:rsidP="00B512F6">
            <w:pPr>
              <w:spacing w:line="240" w:lineRule="auto"/>
              <w:rPr>
                <w:rFonts w:eastAsia="Times New Roman"/>
              </w:rPr>
            </w:pPr>
            <w:r w:rsidRPr="00810F85">
              <w:rPr>
                <w:rFonts w:eastAsia="Times New Roman"/>
              </w:rPr>
              <w:t>Junio</w:t>
            </w:r>
          </w:p>
        </w:tc>
      </w:tr>
      <w:tr w:rsidR="00B512F6" w:rsidRPr="00810F85" w14:paraId="4DDFFF15" w14:textId="77777777" w:rsidTr="00B512F6">
        <w:trPr>
          <w:trHeight w:val="300"/>
        </w:trPr>
        <w:tc>
          <w:tcPr>
            <w:tcW w:w="1200" w:type="dxa"/>
            <w:vMerge w:val="restart"/>
            <w:tcBorders>
              <w:top w:val="nil"/>
              <w:left w:val="single" w:sz="4" w:space="0" w:color="A6A6A6"/>
              <w:bottom w:val="single" w:sz="4" w:space="0" w:color="A6A6A6"/>
              <w:right w:val="single" w:sz="4" w:space="0" w:color="A6A6A6"/>
            </w:tcBorders>
            <w:shd w:val="clear" w:color="auto" w:fill="auto"/>
            <w:noWrap/>
            <w:vAlign w:val="center"/>
            <w:hideMark/>
          </w:tcPr>
          <w:p w14:paraId="253DFD0B" w14:textId="77777777" w:rsidR="00B512F6" w:rsidRPr="00810F85" w:rsidRDefault="00B512F6" w:rsidP="00B512F6">
            <w:pPr>
              <w:spacing w:line="240" w:lineRule="auto"/>
              <w:jc w:val="center"/>
              <w:rPr>
                <w:rFonts w:eastAsia="Times New Roman"/>
              </w:rPr>
            </w:pPr>
            <w:r w:rsidRPr="00810F85">
              <w:rPr>
                <w:rFonts w:eastAsia="Times New Roman"/>
              </w:rPr>
              <w:t>3</w:t>
            </w:r>
          </w:p>
        </w:tc>
        <w:tc>
          <w:tcPr>
            <w:tcW w:w="1480" w:type="dxa"/>
            <w:vMerge w:val="restart"/>
            <w:tcBorders>
              <w:top w:val="nil"/>
              <w:left w:val="single" w:sz="4" w:space="0" w:color="A6A6A6"/>
              <w:bottom w:val="single" w:sz="4" w:space="0" w:color="A6A6A6"/>
              <w:right w:val="single" w:sz="4" w:space="0" w:color="A6A6A6"/>
            </w:tcBorders>
            <w:shd w:val="clear" w:color="auto" w:fill="auto"/>
            <w:vAlign w:val="center"/>
            <w:hideMark/>
          </w:tcPr>
          <w:p w14:paraId="56214671" w14:textId="77777777" w:rsidR="00B512F6" w:rsidRPr="00810F85" w:rsidRDefault="00B512F6" w:rsidP="00B512F6">
            <w:pPr>
              <w:spacing w:line="240" w:lineRule="auto"/>
              <w:jc w:val="center"/>
              <w:rPr>
                <w:rFonts w:eastAsia="Times New Roman"/>
              </w:rPr>
            </w:pPr>
            <w:r w:rsidRPr="00810F85">
              <w:rPr>
                <w:rFonts w:eastAsia="Times New Roman"/>
              </w:rPr>
              <w:t>30 de Septiembre</w:t>
            </w:r>
          </w:p>
        </w:tc>
        <w:tc>
          <w:tcPr>
            <w:tcW w:w="1540" w:type="dxa"/>
            <w:tcBorders>
              <w:top w:val="nil"/>
              <w:left w:val="nil"/>
              <w:bottom w:val="single" w:sz="4" w:space="0" w:color="A6A6A6"/>
              <w:right w:val="single" w:sz="4" w:space="0" w:color="A6A6A6"/>
            </w:tcBorders>
            <w:shd w:val="clear" w:color="auto" w:fill="auto"/>
            <w:noWrap/>
            <w:vAlign w:val="bottom"/>
            <w:hideMark/>
          </w:tcPr>
          <w:p w14:paraId="559846C6" w14:textId="77777777" w:rsidR="00B512F6" w:rsidRPr="00810F85" w:rsidRDefault="00B512F6" w:rsidP="00B512F6">
            <w:pPr>
              <w:spacing w:line="240" w:lineRule="auto"/>
              <w:rPr>
                <w:rFonts w:eastAsia="Times New Roman"/>
              </w:rPr>
            </w:pPr>
            <w:r w:rsidRPr="00810F85">
              <w:rPr>
                <w:rFonts w:eastAsia="Times New Roman"/>
              </w:rPr>
              <w:t>Julio</w:t>
            </w:r>
          </w:p>
        </w:tc>
      </w:tr>
      <w:tr w:rsidR="00B512F6" w:rsidRPr="00810F85" w14:paraId="0B3D9E40" w14:textId="77777777" w:rsidTr="00B512F6">
        <w:trPr>
          <w:trHeight w:val="300"/>
        </w:trPr>
        <w:tc>
          <w:tcPr>
            <w:tcW w:w="1200" w:type="dxa"/>
            <w:vMerge/>
            <w:tcBorders>
              <w:top w:val="nil"/>
              <w:left w:val="single" w:sz="4" w:space="0" w:color="A6A6A6"/>
              <w:bottom w:val="single" w:sz="4" w:space="0" w:color="A6A6A6"/>
              <w:right w:val="single" w:sz="4" w:space="0" w:color="A6A6A6"/>
            </w:tcBorders>
            <w:vAlign w:val="center"/>
            <w:hideMark/>
          </w:tcPr>
          <w:p w14:paraId="2549AAB6" w14:textId="77777777" w:rsidR="00B512F6" w:rsidRPr="00810F85" w:rsidRDefault="00B512F6" w:rsidP="00B512F6">
            <w:pPr>
              <w:spacing w:line="240" w:lineRule="auto"/>
              <w:rPr>
                <w:rFonts w:eastAsia="Times New Roman"/>
              </w:rPr>
            </w:pPr>
          </w:p>
        </w:tc>
        <w:tc>
          <w:tcPr>
            <w:tcW w:w="1480" w:type="dxa"/>
            <w:vMerge/>
            <w:tcBorders>
              <w:top w:val="nil"/>
              <w:left w:val="single" w:sz="4" w:space="0" w:color="A6A6A6"/>
              <w:bottom w:val="single" w:sz="4" w:space="0" w:color="A6A6A6"/>
              <w:right w:val="single" w:sz="4" w:space="0" w:color="A6A6A6"/>
            </w:tcBorders>
            <w:vAlign w:val="center"/>
            <w:hideMark/>
          </w:tcPr>
          <w:p w14:paraId="1626D90B" w14:textId="77777777" w:rsidR="00B512F6" w:rsidRPr="00810F85" w:rsidRDefault="00B512F6" w:rsidP="00B512F6">
            <w:pPr>
              <w:spacing w:line="240" w:lineRule="auto"/>
              <w:rPr>
                <w:rFonts w:eastAsia="Times New Roman"/>
              </w:rPr>
            </w:pPr>
          </w:p>
        </w:tc>
        <w:tc>
          <w:tcPr>
            <w:tcW w:w="1540" w:type="dxa"/>
            <w:tcBorders>
              <w:top w:val="nil"/>
              <w:left w:val="nil"/>
              <w:bottom w:val="single" w:sz="4" w:space="0" w:color="A6A6A6"/>
              <w:right w:val="single" w:sz="4" w:space="0" w:color="A6A6A6"/>
            </w:tcBorders>
            <w:shd w:val="clear" w:color="auto" w:fill="auto"/>
            <w:noWrap/>
            <w:vAlign w:val="bottom"/>
            <w:hideMark/>
          </w:tcPr>
          <w:p w14:paraId="6B613510" w14:textId="77777777" w:rsidR="00B512F6" w:rsidRPr="00810F85" w:rsidRDefault="00B512F6" w:rsidP="00B512F6">
            <w:pPr>
              <w:spacing w:line="240" w:lineRule="auto"/>
              <w:rPr>
                <w:rFonts w:eastAsia="Times New Roman"/>
              </w:rPr>
            </w:pPr>
            <w:r w:rsidRPr="00810F85">
              <w:rPr>
                <w:rFonts w:eastAsia="Times New Roman"/>
              </w:rPr>
              <w:t>Agosto</w:t>
            </w:r>
          </w:p>
        </w:tc>
      </w:tr>
      <w:tr w:rsidR="00B512F6" w:rsidRPr="00810F85" w14:paraId="5D727745" w14:textId="77777777" w:rsidTr="00B512F6">
        <w:trPr>
          <w:trHeight w:val="300"/>
        </w:trPr>
        <w:tc>
          <w:tcPr>
            <w:tcW w:w="1200" w:type="dxa"/>
            <w:vMerge/>
            <w:tcBorders>
              <w:top w:val="nil"/>
              <w:left w:val="single" w:sz="4" w:space="0" w:color="A6A6A6"/>
              <w:bottom w:val="single" w:sz="4" w:space="0" w:color="A6A6A6"/>
              <w:right w:val="single" w:sz="4" w:space="0" w:color="A6A6A6"/>
            </w:tcBorders>
            <w:vAlign w:val="center"/>
            <w:hideMark/>
          </w:tcPr>
          <w:p w14:paraId="55ECC568" w14:textId="77777777" w:rsidR="00B512F6" w:rsidRPr="00810F85" w:rsidRDefault="00B512F6" w:rsidP="00B512F6">
            <w:pPr>
              <w:spacing w:line="240" w:lineRule="auto"/>
              <w:rPr>
                <w:rFonts w:eastAsia="Times New Roman"/>
              </w:rPr>
            </w:pPr>
          </w:p>
        </w:tc>
        <w:tc>
          <w:tcPr>
            <w:tcW w:w="1480" w:type="dxa"/>
            <w:vMerge/>
            <w:tcBorders>
              <w:top w:val="nil"/>
              <w:left w:val="single" w:sz="4" w:space="0" w:color="A6A6A6"/>
              <w:bottom w:val="single" w:sz="4" w:space="0" w:color="A6A6A6"/>
              <w:right w:val="single" w:sz="4" w:space="0" w:color="A6A6A6"/>
            </w:tcBorders>
            <w:vAlign w:val="center"/>
            <w:hideMark/>
          </w:tcPr>
          <w:p w14:paraId="775DFD8C" w14:textId="77777777" w:rsidR="00B512F6" w:rsidRPr="00810F85" w:rsidRDefault="00B512F6" w:rsidP="00B512F6">
            <w:pPr>
              <w:spacing w:line="240" w:lineRule="auto"/>
              <w:rPr>
                <w:rFonts w:eastAsia="Times New Roman"/>
              </w:rPr>
            </w:pPr>
          </w:p>
        </w:tc>
        <w:tc>
          <w:tcPr>
            <w:tcW w:w="1540" w:type="dxa"/>
            <w:tcBorders>
              <w:top w:val="nil"/>
              <w:left w:val="nil"/>
              <w:bottom w:val="single" w:sz="4" w:space="0" w:color="A6A6A6"/>
              <w:right w:val="single" w:sz="4" w:space="0" w:color="A6A6A6"/>
            </w:tcBorders>
            <w:shd w:val="clear" w:color="auto" w:fill="auto"/>
            <w:noWrap/>
            <w:vAlign w:val="bottom"/>
            <w:hideMark/>
          </w:tcPr>
          <w:p w14:paraId="6BD4CABC" w14:textId="77777777" w:rsidR="00B512F6" w:rsidRPr="00810F85" w:rsidRDefault="00B512F6" w:rsidP="00B512F6">
            <w:pPr>
              <w:spacing w:line="240" w:lineRule="auto"/>
              <w:rPr>
                <w:rFonts w:eastAsia="Times New Roman"/>
              </w:rPr>
            </w:pPr>
            <w:r w:rsidRPr="00810F85">
              <w:rPr>
                <w:rFonts w:eastAsia="Times New Roman"/>
              </w:rPr>
              <w:t>Septiembre</w:t>
            </w:r>
          </w:p>
        </w:tc>
      </w:tr>
      <w:tr w:rsidR="00B512F6" w:rsidRPr="00810F85" w14:paraId="0EB7A904" w14:textId="77777777" w:rsidTr="00B512F6">
        <w:trPr>
          <w:trHeight w:val="300"/>
        </w:trPr>
        <w:tc>
          <w:tcPr>
            <w:tcW w:w="1200" w:type="dxa"/>
            <w:vMerge w:val="restart"/>
            <w:tcBorders>
              <w:top w:val="nil"/>
              <w:left w:val="single" w:sz="4" w:space="0" w:color="A6A6A6"/>
              <w:bottom w:val="single" w:sz="4" w:space="0" w:color="A6A6A6"/>
              <w:right w:val="single" w:sz="4" w:space="0" w:color="A6A6A6"/>
            </w:tcBorders>
            <w:shd w:val="clear" w:color="auto" w:fill="auto"/>
            <w:noWrap/>
            <w:vAlign w:val="center"/>
            <w:hideMark/>
          </w:tcPr>
          <w:p w14:paraId="0B567E57" w14:textId="77777777" w:rsidR="00B512F6" w:rsidRPr="00810F85" w:rsidRDefault="00B512F6" w:rsidP="00B512F6">
            <w:pPr>
              <w:spacing w:line="240" w:lineRule="auto"/>
              <w:jc w:val="center"/>
              <w:rPr>
                <w:rFonts w:eastAsia="Times New Roman"/>
              </w:rPr>
            </w:pPr>
            <w:r w:rsidRPr="00810F85">
              <w:rPr>
                <w:rFonts w:eastAsia="Times New Roman"/>
              </w:rPr>
              <w:t>4</w:t>
            </w:r>
          </w:p>
        </w:tc>
        <w:tc>
          <w:tcPr>
            <w:tcW w:w="1480" w:type="dxa"/>
            <w:vMerge w:val="restart"/>
            <w:tcBorders>
              <w:top w:val="nil"/>
              <w:left w:val="single" w:sz="4" w:space="0" w:color="A6A6A6"/>
              <w:bottom w:val="single" w:sz="4" w:space="0" w:color="A6A6A6"/>
              <w:right w:val="single" w:sz="4" w:space="0" w:color="A6A6A6"/>
            </w:tcBorders>
            <w:shd w:val="clear" w:color="auto" w:fill="auto"/>
            <w:vAlign w:val="center"/>
            <w:hideMark/>
          </w:tcPr>
          <w:p w14:paraId="10399524" w14:textId="77777777" w:rsidR="00B512F6" w:rsidRPr="00810F85" w:rsidRDefault="00B512F6" w:rsidP="00B512F6">
            <w:pPr>
              <w:spacing w:line="240" w:lineRule="auto"/>
              <w:jc w:val="center"/>
              <w:rPr>
                <w:rFonts w:eastAsia="Times New Roman"/>
              </w:rPr>
            </w:pPr>
            <w:r w:rsidRPr="00810F85">
              <w:rPr>
                <w:rFonts w:eastAsia="Times New Roman"/>
              </w:rPr>
              <w:t>30 de Noviembre</w:t>
            </w:r>
          </w:p>
        </w:tc>
        <w:tc>
          <w:tcPr>
            <w:tcW w:w="1540" w:type="dxa"/>
            <w:tcBorders>
              <w:top w:val="nil"/>
              <w:left w:val="nil"/>
              <w:bottom w:val="single" w:sz="4" w:space="0" w:color="A6A6A6"/>
              <w:right w:val="single" w:sz="4" w:space="0" w:color="A6A6A6"/>
            </w:tcBorders>
            <w:shd w:val="clear" w:color="auto" w:fill="auto"/>
            <w:noWrap/>
            <w:vAlign w:val="bottom"/>
            <w:hideMark/>
          </w:tcPr>
          <w:p w14:paraId="0C1B4F23" w14:textId="77777777" w:rsidR="00B512F6" w:rsidRPr="00810F85" w:rsidRDefault="00B512F6" w:rsidP="00B512F6">
            <w:pPr>
              <w:spacing w:line="240" w:lineRule="auto"/>
              <w:rPr>
                <w:rFonts w:eastAsia="Times New Roman"/>
              </w:rPr>
            </w:pPr>
            <w:r w:rsidRPr="00810F85">
              <w:rPr>
                <w:rFonts w:eastAsia="Times New Roman"/>
              </w:rPr>
              <w:t>Octubre</w:t>
            </w:r>
          </w:p>
        </w:tc>
      </w:tr>
      <w:tr w:rsidR="00B512F6" w:rsidRPr="00810F85" w14:paraId="3063CA86" w14:textId="77777777" w:rsidTr="00B512F6">
        <w:trPr>
          <w:trHeight w:val="300"/>
        </w:trPr>
        <w:tc>
          <w:tcPr>
            <w:tcW w:w="1200" w:type="dxa"/>
            <w:vMerge/>
            <w:tcBorders>
              <w:top w:val="nil"/>
              <w:left w:val="single" w:sz="4" w:space="0" w:color="A6A6A6"/>
              <w:bottom w:val="single" w:sz="4" w:space="0" w:color="A6A6A6"/>
              <w:right w:val="single" w:sz="4" w:space="0" w:color="A6A6A6"/>
            </w:tcBorders>
            <w:vAlign w:val="center"/>
            <w:hideMark/>
          </w:tcPr>
          <w:p w14:paraId="36DBB3E1" w14:textId="77777777" w:rsidR="00B512F6" w:rsidRPr="00810F85" w:rsidRDefault="00B512F6" w:rsidP="00B512F6">
            <w:pPr>
              <w:spacing w:line="240" w:lineRule="auto"/>
              <w:rPr>
                <w:rFonts w:eastAsia="Times New Roman"/>
              </w:rPr>
            </w:pPr>
          </w:p>
        </w:tc>
        <w:tc>
          <w:tcPr>
            <w:tcW w:w="1480" w:type="dxa"/>
            <w:vMerge/>
            <w:tcBorders>
              <w:top w:val="nil"/>
              <w:left w:val="single" w:sz="4" w:space="0" w:color="A6A6A6"/>
              <w:bottom w:val="single" w:sz="4" w:space="0" w:color="A6A6A6"/>
              <w:right w:val="single" w:sz="4" w:space="0" w:color="A6A6A6"/>
            </w:tcBorders>
            <w:vAlign w:val="center"/>
            <w:hideMark/>
          </w:tcPr>
          <w:p w14:paraId="259085C6" w14:textId="77777777" w:rsidR="00B512F6" w:rsidRPr="00810F85" w:rsidRDefault="00B512F6" w:rsidP="00B512F6">
            <w:pPr>
              <w:spacing w:line="240" w:lineRule="auto"/>
              <w:rPr>
                <w:rFonts w:eastAsia="Times New Roman"/>
              </w:rPr>
            </w:pPr>
          </w:p>
        </w:tc>
        <w:tc>
          <w:tcPr>
            <w:tcW w:w="1540" w:type="dxa"/>
            <w:tcBorders>
              <w:top w:val="nil"/>
              <w:left w:val="nil"/>
              <w:bottom w:val="single" w:sz="4" w:space="0" w:color="A6A6A6"/>
              <w:right w:val="single" w:sz="4" w:space="0" w:color="A6A6A6"/>
            </w:tcBorders>
            <w:shd w:val="clear" w:color="auto" w:fill="auto"/>
            <w:noWrap/>
            <w:vAlign w:val="bottom"/>
            <w:hideMark/>
          </w:tcPr>
          <w:p w14:paraId="3468B7E6" w14:textId="77777777" w:rsidR="00B512F6" w:rsidRPr="00810F85" w:rsidRDefault="00B512F6" w:rsidP="00B512F6">
            <w:pPr>
              <w:spacing w:line="240" w:lineRule="auto"/>
              <w:rPr>
                <w:rFonts w:eastAsia="Times New Roman"/>
              </w:rPr>
            </w:pPr>
            <w:r w:rsidRPr="00810F85">
              <w:rPr>
                <w:rFonts w:eastAsia="Times New Roman"/>
              </w:rPr>
              <w:t>Noviembre</w:t>
            </w:r>
          </w:p>
        </w:tc>
      </w:tr>
      <w:tr w:rsidR="00B512F6" w:rsidRPr="00810F85" w14:paraId="5A75C7EE" w14:textId="77777777" w:rsidTr="00B512F6">
        <w:trPr>
          <w:trHeight w:val="300"/>
        </w:trPr>
        <w:tc>
          <w:tcPr>
            <w:tcW w:w="1200" w:type="dxa"/>
            <w:vMerge/>
            <w:tcBorders>
              <w:top w:val="nil"/>
              <w:left w:val="single" w:sz="4" w:space="0" w:color="A6A6A6"/>
              <w:bottom w:val="single" w:sz="4" w:space="0" w:color="A6A6A6"/>
              <w:right w:val="single" w:sz="4" w:space="0" w:color="A6A6A6"/>
            </w:tcBorders>
            <w:vAlign w:val="center"/>
            <w:hideMark/>
          </w:tcPr>
          <w:p w14:paraId="7F5D3398" w14:textId="77777777" w:rsidR="00B512F6" w:rsidRPr="00810F85" w:rsidRDefault="00B512F6" w:rsidP="00B512F6">
            <w:pPr>
              <w:spacing w:line="240" w:lineRule="auto"/>
              <w:rPr>
                <w:rFonts w:eastAsia="Times New Roman"/>
              </w:rPr>
            </w:pPr>
          </w:p>
        </w:tc>
        <w:tc>
          <w:tcPr>
            <w:tcW w:w="1480" w:type="dxa"/>
            <w:vMerge/>
            <w:tcBorders>
              <w:top w:val="nil"/>
              <w:left w:val="single" w:sz="4" w:space="0" w:color="A6A6A6"/>
              <w:bottom w:val="single" w:sz="4" w:space="0" w:color="A6A6A6"/>
              <w:right w:val="single" w:sz="4" w:space="0" w:color="A6A6A6"/>
            </w:tcBorders>
            <w:vAlign w:val="center"/>
            <w:hideMark/>
          </w:tcPr>
          <w:p w14:paraId="359141E9" w14:textId="77777777" w:rsidR="00B512F6" w:rsidRPr="00810F85" w:rsidRDefault="00B512F6" w:rsidP="00B512F6">
            <w:pPr>
              <w:spacing w:line="240" w:lineRule="auto"/>
              <w:rPr>
                <w:rFonts w:eastAsia="Times New Roman"/>
              </w:rPr>
            </w:pPr>
          </w:p>
        </w:tc>
        <w:tc>
          <w:tcPr>
            <w:tcW w:w="1540" w:type="dxa"/>
            <w:tcBorders>
              <w:top w:val="nil"/>
              <w:left w:val="nil"/>
              <w:bottom w:val="single" w:sz="4" w:space="0" w:color="A6A6A6"/>
              <w:right w:val="single" w:sz="4" w:space="0" w:color="A6A6A6"/>
            </w:tcBorders>
            <w:shd w:val="clear" w:color="auto" w:fill="auto"/>
            <w:noWrap/>
            <w:vAlign w:val="bottom"/>
            <w:hideMark/>
          </w:tcPr>
          <w:p w14:paraId="209A4C82" w14:textId="77777777" w:rsidR="00B512F6" w:rsidRPr="00810F85" w:rsidRDefault="00B512F6" w:rsidP="00B512F6">
            <w:pPr>
              <w:spacing w:line="240" w:lineRule="auto"/>
              <w:rPr>
                <w:rFonts w:eastAsia="Times New Roman"/>
              </w:rPr>
            </w:pPr>
            <w:r w:rsidRPr="00810F85">
              <w:rPr>
                <w:rFonts w:eastAsia="Times New Roman"/>
              </w:rPr>
              <w:t>Diciembre</w:t>
            </w:r>
          </w:p>
        </w:tc>
      </w:tr>
    </w:tbl>
    <w:p w14:paraId="7383D1D8" w14:textId="77777777" w:rsidR="00F458C3" w:rsidRPr="00810F85" w:rsidRDefault="00B512F6" w:rsidP="00F458C3">
      <w:pPr>
        <w:jc w:val="both"/>
      </w:pPr>
      <w:r w:rsidRPr="00810F85">
        <w:t xml:space="preserve">Cuadro elaboración propia. </w:t>
      </w:r>
    </w:p>
    <w:p w14:paraId="23164A40" w14:textId="77777777" w:rsidR="00F458C3" w:rsidRPr="00810F85" w:rsidRDefault="00F458C3" w:rsidP="00F458C3">
      <w:pPr>
        <w:jc w:val="both"/>
      </w:pPr>
    </w:p>
    <w:p w14:paraId="292B399D" w14:textId="77777777" w:rsidR="00F458C3" w:rsidRPr="00810F85" w:rsidRDefault="00F458C3" w:rsidP="00F458C3">
      <w:pPr>
        <w:shd w:val="clear" w:color="auto" w:fill="FFFFFF"/>
        <w:spacing w:after="180"/>
        <w:jc w:val="both"/>
      </w:pPr>
      <w:r w:rsidRPr="00810F85">
        <w:t>Corresponde al pago de impuesto que grava a los bienes raíces (Formulario 30), según el aval</w:t>
      </w:r>
      <w:r w:rsidR="00936D79">
        <w:t>úo fiscal determinado por SII.</w:t>
      </w:r>
    </w:p>
    <w:p w14:paraId="7A4E16FF" w14:textId="77777777" w:rsidR="00F458C3" w:rsidRPr="00810F85" w:rsidRDefault="00F458C3" w:rsidP="00FE2E44"/>
    <w:p w14:paraId="20D5221C" w14:textId="77777777" w:rsidR="00284FA2" w:rsidRPr="00810F85" w:rsidRDefault="00284FA2" w:rsidP="00284FA2">
      <w:pPr>
        <w:jc w:val="both"/>
      </w:pPr>
    </w:p>
    <w:p w14:paraId="2B8A4E2F" w14:textId="77777777" w:rsidR="009371EA" w:rsidRPr="00810F85" w:rsidRDefault="009371EA" w:rsidP="007A14D3">
      <w:pPr>
        <w:jc w:val="both"/>
        <w:rPr>
          <w:rFonts w:eastAsia="Times New Roman"/>
          <w:color w:val="auto"/>
        </w:rPr>
      </w:pPr>
    </w:p>
    <w:p w14:paraId="73E63BE2" w14:textId="77777777" w:rsidR="007A14D3" w:rsidRPr="00810F85" w:rsidRDefault="00F458C3" w:rsidP="00FC148A">
      <w:pPr>
        <w:pStyle w:val="Ttulo2"/>
        <w:numPr>
          <w:ilvl w:val="1"/>
          <w:numId w:val="1"/>
        </w:numPr>
        <w:rPr>
          <w:rFonts w:ascii="Arial" w:hAnsi="Arial" w:cs="Arial"/>
          <w:b/>
          <w:color w:val="auto"/>
          <w:sz w:val="22"/>
          <w:szCs w:val="22"/>
        </w:rPr>
      </w:pPr>
      <w:bookmarkStart w:id="9" w:name="_Toc530596785"/>
      <w:r w:rsidRPr="00810F85">
        <w:rPr>
          <w:rFonts w:ascii="Arial" w:hAnsi="Arial" w:cs="Arial"/>
          <w:b/>
          <w:color w:val="auto"/>
          <w:sz w:val="22"/>
          <w:szCs w:val="22"/>
        </w:rPr>
        <w:lastRenderedPageBreak/>
        <w:t>¿Qué es el SINIM?</w:t>
      </w:r>
      <w:bookmarkEnd w:id="9"/>
      <w:r w:rsidRPr="00810F85">
        <w:rPr>
          <w:rFonts w:ascii="Arial" w:hAnsi="Arial" w:cs="Arial"/>
          <w:b/>
          <w:color w:val="auto"/>
          <w:sz w:val="22"/>
          <w:szCs w:val="22"/>
        </w:rPr>
        <w:t xml:space="preserve"> </w:t>
      </w:r>
    </w:p>
    <w:p w14:paraId="629452FF" w14:textId="77777777" w:rsidR="00F458C3" w:rsidRPr="00810F85" w:rsidRDefault="00F458C3" w:rsidP="00F458C3"/>
    <w:p w14:paraId="6F40F140" w14:textId="77777777" w:rsidR="00F458C3" w:rsidRPr="00810F85" w:rsidRDefault="00F458C3" w:rsidP="00F458C3">
      <w:pPr>
        <w:jc w:val="both"/>
        <w:rPr>
          <w:b/>
        </w:rPr>
      </w:pPr>
      <w:r w:rsidRPr="00810F85">
        <w:t xml:space="preserve">“El SINIM es un sistema de información de cobertura nacional, para los 345 municipios del país, que recopila, ordena, procesa y pone a disposición pública información dispersa del ámbito local-municipal para distintas áreas. Actualmente, la información SINIM se encuentra disponible desde 2001 a 2017 para las áreas de: Administración y Finanzas, Recursos Humanos, Educación, Salud, Social y Comunitaria, Desarrollo y Gestión Territorial, Social y Comunitaria, Caracterización Comunal, Género y Cementerio.” </w:t>
      </w:r>
      <w:sdt>
        <w:sdtPr>
          <w:id w:val="-1625231163"/>
          <w:citation/>
        </w:sdtPr>
        <w:sdtEndPr/>
        <w:sdtContent>
          <w:r w:rsidRPr="00810F85">
            <w:fldChar w:fldCharType="begin"/>
          </w:r>
          <w:r w:rsidRPr="00810F85">
            <w:instrText xml:space="preserve"> CITATION div18 \l 13322 </w:instrText>
          </w:r>
          <w:r w:rsidRPr="00810F85">
            <w:fldChar w:fldCharType="separate"/>
          </w:r>
          <w:r w:rsidR="00A06373" w:rsidRPr="00810F85">
            <w:rPr>
              <w:noProof/>
            </w:rPr>
            <w:t>(division de municipalidades, departamento de finanzas municipales, 2018)</w:t>
          </w:r>
          <w:r w:rsidRPr="00810F85">
            <w:fldChar w:fldCharType="end"/>
          </w:r>
        </w:sdtContent>
      </w:sdt>
    </w:p>
    <w:p w14:paraId="297424AE" w14:textId="77777777" w:rsidR="00F458C3" w:rsidRPr="00810F85" w:rsidRDefault="00F458C3" w:rsidP="00F458C3">
      <w:pPr>
        <w:pStyle w:val="Prrafodelista"/>
        <w:jc w:val="both"/>
        <w:rPr>
          <w:color w:val="1155CC"/>
          <w:u w:val="single"/>
        </w:rPr>
      </w:pPr>
    </w:p>
    <w:p w14:paraId="67AFE792" w14:textId="77777777" w:rsidR="00F458C3" w:rsidRPr="00810F85" w:rsidRDefault="00F458C3" w:rsidP="00F458C3">
      <w:pPr>
        <w:jc w:val="both"/>
      </w:pPr>
      <w:r w:rsidRPr="00810F85">
        <w:t xml:space="preserve">El SINIM </w:t>
      </w:r>
      <w:r w:rsidR="004D6960" w:rsidRPr="00810F85">
        <w:t>es una amplia herramienta de gestión</w:t>
      </w:r>
      <w:r w:rsidRPr="00810F85">
        <w:t xml:space="preserve"> </w:t>
      </w:r>
      <w:r w:rsidR="004D6960" w:rsidRPr="00810F85">
        <w:t>de información, que recopila y pone a</w:t>
      </w:r>
      <w:r w:rsidRPr="00810F85">
        <w:t xml:space="preserve"> </w:t>
      </w:r>
      <w:r w:rsidR="004D6960" w:rsidRPr="00810F85">
        <w:t>disposición pública un conjunto de variables y datos estadísticos de temas municipales</w:t>
      </w:r>
      <w:r w:rsidRPr="00810F85">
        <w:t xml:space="preserve"> </w:t>
      </w:r>
      <w:r w:rsidR="004D6960" w:rsidRPr="00810F85">
        <w:t xml:space="preserve">asociados a las áreas de </w:t>
      </w:r>
      <w:r w:rsidRPr="00810F85">
        <w:t xml:space="preserve">Administración y </w:t>
      </w:r>
      <w:r w:rsidR="004D6960" w:rsidRPr="00810F85">
        <w:t>Finanzas, Salud, Educación, Gestión Territorial</w:t>
      </w:r>
      <w:r w:rsidRPr="00810F85">
        <w:t>, Gestión Social y Comunitaria, Género y Caracterización Comunal. El SINIM lleva 9 años de funcionamiento,   se   actualiza   anualmente   y   cuenta   con   información   de   las   345 municipalidades del país desde el año 2001 hasta el año 2009.La información se encuentra disponible en plataforma web de la Subsecretaría de Desarrollo Regional y Administrativo y Administrativo (SUBDERE), y en la dirección www.sinim.gov.cl.La información del SINIM de interés para el diagnóstico se concentra principalmente en las áreas de Administración y Finanzas de Caracterización Comunal, los cuales entregan una lista  de  indicadores  disponibles,  creados  a  partir  de  variables  presupuestarias  ingresadas por los municipios de acuerdo a sus Balances de Ejecución Presupuestaria (BEP)</w:t>
      </w:r>
      <w:sdt>
        <w:sdtPr>
          <w:id w:val="106399530"/>
          <w:citation/>
        </w:sdtPr>
        <w:sdtEndPr/>
        <w:sdtContent>
          <w:r w:rsidRPr="00810F85">
            <w:fldChar w:fldCharType="begin"/>
          </w:r>
          <w:r w:rsidRPr="00810F85">
            <w:instrText xml:space="preserve"> CITATION UNI11 \l 13322 </w:instrText>
          </w:r>
          <w:r w:rsidRPr="00810F85">
            <w:fldChar w:fldCharType="separate"/>
          </w:r>
          <w:r w:rsidR="00A06373" w:rsidRPr="00810F85">
            <w:rPr>
              <w:noProof/>
            </w:rPr>
            <w:t xml:space="preserve"> ( UNIVERSIDAD DE CHILE, 2011)</w:t>
          </w:r>
          <w:r w:rsidRPr="00810F85">
            <w:fldChar w:fldCharType="end"/>
          </w:r>
        </w:sdtContent>
      </w:sdt>
      <w:r w:rsidRPr="00810F85">
        <w:t xml:space="preserve"> .</w:t>
      </w:r>
    </w:p>
    <w:p w14:paraId="6253CD5D" w14:textId="77777777" w:rsidR="00FE2E44" w:rsidRPr="00810F85" w:rsidRDefault="00FE2E44" w:rsidP="00FE2E44"/>
    <w:p w14:paraId="43FA5641" w14:textId="77777777" w:rsidR="004036E1" w:rsidRDefault="004036E1" w:rsidP="00FE2E44"/>
    <w:p w14:paraId="75CBE3E9" w14:textId="77777777" w:rsidR="00810F85" w:rsidRDefault="00810F85" w:rsidP="00FE2E44"/>
    <w:p w14:paraId="29F35BDB" w14:textId="77777777" w:rsidR="00810F85" w:rsidRDefault="00810F85" w:rsidP="00FE2E44"/>
    <w:p w14:paraId="78179DEC" w14:textId="77777777" w:rsidR="00810F85" w:rsidRDefault="00810F85" w:rsidP="00FE2E44"/>
    <w:p w14:paraId="3D125DDF" w14:textId="77777777" w:rsidR="00CD30EB" w:rsidRDefault="00CD30EB" w:rsidP="00FE2E44"/>
    <w:p w14:paraId="04A806A9" w14:textId="77777777" w:rsidR="00CD30EB" w:rsidRDefault="00CD30EB" w:rsidP="00FE2E44"/>
    <w:p w14:paraId="3D144248" w14:textId="77777777" w:rsidR="00CD30EB" w:rsidRDefault="00CD30EB" w:rsidP="00FE2E44"/>
    <w:p w14:paraId="4D3FA989" w14:textId="77777777" w:rsidR="00CD30EB" w:rsidRDefault="00CD30EB" w:rsidP="00FE2E44"/>
    <w:p w14:paraId="1E57BD65" w14:textId="77777777" w:rsidR="009A375C" w:rsidRDefault="009A375C" w:rsidP="00FE2E44"/>
    <w:p w14:paraId="27099041" w14:textId="77777777" w:rsidR="00CD30EB" w:rsidRDefault="00CD30EB" w:rsidP="00FE2E44"/>
    <w:p w14:paraId="34EFC8CF" w14:textId="77777777" w:rsidR="00936D79" w:rsidRDefault="00936D79" w:rsidP="00FE2E44"/>
    <w:p w14:paraId="6DF773B4" w14:textId="77777777" w:rsidR="00936D79" w:rsidRDefault="00936D79" w:rsidP="00FE2E44"/>
    <w:p w14:paraId="491EBDAC" w14:textId="77777777" w:rsidR="00936D79" w:rsidRDefault="00936D79" w:rsidP="00FE2E44"/>
    <w:p w14:paraId="3B5F3DEF" w14:textId="77777777" w:rsidR="00936D79" w:rsidRDefault="00936D79" w:rsidP="00FE2E44"/>
    <w:p w14:paraId="4FD7DA7B" w14:textId="77777777" w:rsidR="00936D79" w:rsidRDefault="00936D79" w:rsidP="00FE2E44"/>
    <w:p w14:paraId="26E586AA" w14:textId="77777777" w:rsidR="00936D79" w:rsidRDefault="00936D79" w:rsidP="00FE2E44"/>
    <w:p w14:paraId="4E6BE366" w14:textId="77777777" w:rsidR="00936D79" w:rsidRDefault="00936D79" w:rsidP="00FE2E44"/>
    <w:p w14:paraId="1BFFB060" w14:textId="77777777" w:rsidR="00CD30EB" w:rsidRDefault="00CD30EB" w:rsidP="00FE2E44"/>
    <w:p w14:paraId="3B1E1111" w14:textId="77777777" w:rsidR="001F6E10" w:rsidRPr="00810F85" w:rsidRDefault="001F6E10" w:rsidP="0052143A">
      <w:pPr>
        <w:pStyle w:val="Ttulo1"/>
        <w:numPr>
          <w:ilvl w:val="0"/>
          <w:numId w:val="1"/>
        </w:numPr>
        <w:rPr>
          <w:rFonts w:ascii="Arial" w:hAnsi="Arial" w:cs="Arial"/>
          <w:color w:val="auto"/>
          <w:sz w:val="22"/>
          <w:szCs w:val="22"/>
        </w:rPr>
      </w:pPr>
      <w:bookmarkStart w:id="10" w:name="_Toc530596786"/>
      <w:r w:rsidRPr="00810F85">
        <w:rPr>
          <w:rFonts w:ascii="Arial" w:hAnsi="Arial" w:cs="Arial"/>
          <w:color w:val="auto"/>
          <w:sz w:val="22"/>
          <w:szCs w:val="22"/>
        </w:rPr>
        <w:lastRenderedPageBreak/>
        <w:t>DISEÑO METODOLÓGICO PRELIMINAR</w:t>
      </w:r>
      <w:bookmarkEnd w:id="10"/>
    </w:p>
    <w:p w14:paraId="0B8189E1" w14:textId="77777777" w:rsidR="007F3A93" w:rsidRPr="00810F85" w:rsidRDefault="007F3A93" w:rsidP="007F3A93"/>
    <w:p w14:paraId="039321E8" w14:textId="77777777" w:rsidR="004036E1" w:rsidRPr="00810F85" w:rsidRDefault="004036E1" w:rsidP="004036E1">
      <w:pPr>
        <w:jc w:val="both"/>
        <w:rPr>
          <w:rFonts w:eastAsia="Times New Roman"/>
        </w:rPr>
      </w:pPr>
      <w:r w:rsidRPr="00810F85">
        <w:rPr>
          <w:rFonts w:eastAsia="Times New Roman"/>
        </w:rPr>
        <w:t>La elaboración de la descripción de la metodología se enfocará en realizar estimaciones que servirán para poder analizar, comparar y estimar los nuevos ingresos al Fondo Común Municipal si se hubiera realizado una modificación en las principales comunas aportantes a este Fondo y analizar su redistribución municipal a las comunas de Chile.</w:t>
      </w:r>
    </w:p>
    <w:p w14:paraId="3E88785B" w14:textId="77777777" w:rsidR="004036E1" w:rsidRPr="00810F85" w:rsidRDefault="004036E1" w:rsidP="004036E1">
      <w:pPr>
        <w:jc w:val="both"/>
        <w:rPr>
          <w:rFonts w:eastAsia="Times New Roman"/>
        </w:rPr>
      </w:pPr>
      <w:r w:rsidRPr="00810F85">
        <w:rPr>
          <w:rFonts w:eastAsia="Times New Roman"/>
        </w:rPr>
        <w:t xml:space="preserve"> </w:t>
      </w:r>
    </w:p>
    <w:p w14:paraId="147E01F2" w14:textId="77777777" w:rsidR="004036E1" w:rsidRPr="00810F85" w:rsidRDefault="004036E1" w:rsidP="004036E1">
      <w:pPr>
        <w:jc w:val="both"/>
        <w:rPr>
          <w:rFonts w:eastAsia="Times New Roman"/>
        </w:rPr>
      </w:pPr>
      <w:r w:rsidRPr="00810F85">
        <w:rPr>
          <w:rFonts w:eastAsia="Times New Roman"/>
        </w:rPr>
        <w:t>Para esto se señalará esta propuesta de metodología para confeccionar los siguientes cálculos, se considera el siguiente enfoque metodológico:</w:t>
      </w:r>
    </w:p>
    <w:p w14:paraId="411D4DF2" w14:textId="77777777" w:rsidR="004036E1" w:rsidRPr="00810F85" w:rsidRDefault="004036E1" w:rsidP="004036E1">
      <w:pPr>
        <w:jc w:val="both"/>
        <w:rPr>
          <w:rFonts w:eastAsia="Times New Roman"/>
        </w:rPr>
      </w:pPr>
      <w:r w:rsidRPr="00810F85">
        <w:rPr>
          <w:rFonts w:eastAsia="Times New Roman"/>
        </w:rPr>
        <w:t xml:space="preserve"> </w:t>
      </w:r>
    </w:p>
    <w:p w14:paraId="1C441D20" w14:textId="77777777" w:rsidR="004036E1" w:rsidRPr="00810F85" w:rsidRDefault="004036E1" w:rsidP="004036E1">
      <w:pPr>
        <w:jc w:val="both"/>
        <w:rPr>
          <w:rFonts w:eastAsia="Times New Roman"/>
          <w:highlight w:val="white"/>
        </w:rPr>
      </w:pPr>
      <w:r w:rsidRPr="00810F85">
        <w:rPr>
          <w:rFonts w:eastAsia="Times New Roman"/>
          <w:highlight w:val="white"/>
        </w:rPr>
        <w:t>La investigación será desarrollada a partir de un enfoque cuantitativo del tipo cuasi experimental, descriptiva y analítica.</w:t>
      </w:r>
    </w:p>
    <w:p w14:paraId="7C1E10CA" w14:textId="77777777" w:rsidR="004036E1" w:rsidRPr="00810F85" w:rsidRDefault="004036E1" w:rsidP="004036E1">
      <w:pPr>
        <w:jc w:val="both"/>
        <w:rPr>
          <w:rFonts w:eastAsia="Times New Roman"/>
          <w:highlight w:val="white"/>
        </w:rPr>
      </w:pPr>
      <w:r w:rsidRPr="00810F85">
        <w:rPr>
          <w:rFonts w:eastAsia="Times New Roman"/>
          <w:highlight w:val="white"/>
        </w:rPr>
        <w:t xml:space="preserve"> </w:t>
      </w:r>
    </w:p>
    <w:p w14:paraId="2877101E" w14:textId="77777777" w:rsidR="004036E1" w:rsidRPr="00810F85" w:rsidRDefault="004036E1" w:rsidP="004036E1">
      <w:pPr>
        <w:jc w:val="both"/>
        <w:rPr>
          <w:rFonts w:eastAsia="Times New Roman"/>
          <w:highlight w:val="white"/>
        </w:rPr>
      </w:pPr>
      <w:r w:rsidRPr="00810F85">
        <w:rPr>
          <w:rFonts w:eastAsia="Times New Roman"/>
          <w:highlight w:val="white"/>
        </w:rPr>
        <w:t>Para eso se utilizarán diferentes fuentes de información para evaluar y analizar el FCM, datos que serán exportadas desde los portales de la Subsecretaría de Desarrollo Regional y Administrativo (SUBDERE), a través de la aplicación del Sistema nacional de información municipal (SINIM) y a través de la página web de www.tesoreria.cl. La información utilizada corresponderá a la detallada entre los años 2013 al 2017.</w:t>
      </w:r>
    </w:p>
    <w:p w14:paraId="7AB216C0" w14:textId="77777777" w:rsidR="004036E1" w:rsidRPr="00810F85" w:rsidRDefault="004036E1" w:rsidP="004036E1">
      <w:pPr>
        <w:jc w:val="both"/>
        <w:rPr>
          <w:rFonts w:eastAsia="Times New Roman"/>
          <w:color w:val="FF0000"/>
          <w:highlight w:val="white"/>
        </w:rPr>
      </w:pPr>
      <w:r w:rsidRPr="00810F85">
        <w:rPr>
          <w:rFonts w:eastAsia="Times New Roman"/>
          <w:color w:val="FF0000"/>
          <w:highlight w:val="white"/>
        </w:rPr>
        <w:t xml:space="preserve"> </w:t>
      </w:r>
    </w:p>
    <w:p w14:paraId="1D1FCB5F" w14:textId="77777777" w:rsidR="004036E1" w:rsidRPr="00810F85" w:rsidRDefault="004036E1" w:rsidP="004036E1">
      <w:pPr>
        <w:jc w:val="both"/>
        <w:rPr>
          <w:rFonts w:eastAsia="Times New Roman"/>
          <w:highlight w:val="white"/>
        </w:rPr>
      </w:pPr>
      <w:r w:rsidRPr="00810F85">
        <w:rPr>
          <w:rFonts w:eastAsia="Times New Roman"/>
          <w:highlight w:val="white"/>
        </w:rPr>
        <w:t xml:space="preserve"> </w:t>
      </w:r>
    </w:p>
    <w:p w14:paraId="67C9CCA8" w14:textId="77777777" w:rsidR="004036E1" w:rsidRPr="00810F85" w:rsidRDefault="004036E1" w:rsidP="004036E1">
      <w:pPr>
        <w:ind w:left="560" w:hanging="280"/>
        <w:jc w:val="both"/>
        <w:rPr>
          <w:rFonts w:eastAsia="Times New Roman"/>
          <w:highlight w:val="white"/>
        </w:rPr>
      </w:pPr>
      <w:r w:rsidRPr="00810F85">
        <w:rPr>
          <w:rFonts w:eastAsia="Times New Roman"/>
          <w:highlight w:val="white"/>
        </w:rPr>
        <w:t xml:space="preserve">a)   </w:t>
      </w:r>
      <w:r w:rsidRPr="00810F85">
        <w:rPr>
          <w:rFonts w:eastAsia="Times New Roman"/>
          <w:b/>
          <w:highlight w:val="white"/>
        </w:rPr>
        <w:t>Identificar las nuevas comunas aportantes</w:t>
      </w:r>
      <w:r w:rsidRPr="00810F85">
        <w:rPr>
          <w:rFonts w:eastAsia="Times New Roman"/>
          <w:highlight w:val="white"/>
        </w:rPr>
        <w:t xml:space="preserve">: Primero, para determinar qué nuevas comunas se podrían incorporar a las que aportan más dinero al FCM, se deberá analizar la base de datos </w:t>
      </w:r>
      <w:r w:rsidR="009041FC" w:rsidRPr="00810F85">
        <w:rPr>
          <w:rFonts w:eastAsia="Times New Roman"/>
          <w:highlight w:val="white"/>
        </w:rPr>
        <w:t>histórica</w:t>
      </w:r>
      <w:r w:rsidRPr="00810F85">
        <w:rPr>
          <w:rFonts w:eastAsia="Times New Roman"/>
          <w:highlight w:val="white"/>
        </w:rPr>
        <w:t xml:space="preserve"> de las 346 comunas aportantes al Fondo por el concepto del Impuesto Territorial. Luego de ese análisis se deberá </w:t>
      </w:r>
      <w:r w:rsidRPr="00810F85">
        <w:rPr>
          <w:rFonts w:eastAsia="Times New Roman"/>
          <w:b/>
          <w:highlight w:val="white"/>
        </w:rPr>
        <w:t>decidir algún criterio (</w:t>
      </w:r>
      <w:r w:rsidRPr="00810F85">
        <w:rPr>
          <w:rFonts w:eastAsia="Times New Roman"/>
          <w:b/>
          <w:color w:val="FF0000"/>
          <w:highlight w:val="white"/>
        </w:rPr>
        <w:t xml:space="preserve">que no se </w:t>
      </w:r>
      <w:r w:rsidR="001700C9">
        <w:rPr>
          <w:rFonts w:eastAsia="Times New Roman"/>
          <w:b/>
          <w:color w:val="FF0000"/>
          <w:highlight w:val="white"/>
        </w:rPr>
        <w:t>cual sería</w:t>
      </w:r>
      <w:r w:rsidRPr="00810F85">
        <w:rPr>
          <w:rFonts w:eastAsia="Times New Roman"/>
          <w:b/>
          <w:highlight w:val="white"/>
        </w:rPr>
        <w:t>)</w:t>
      </w:r>
      <w:r w:rsidRPr="00810F85">
        <w:rPr>
          <w:rFonts w:eastAsia="Times New Roman"/>
          <w:highlight w:val="white"/>
        </w:rPr>
        <w:t xml:space="preserve"> para incorporar nuevas comunas que aporten con un porcentaje más elevado al FCM, al igual como lo realizan las comunas de Las Condes, Vitacura, Providencia y Santiago que realizan un aporte del 65% del impuesto territorial al FCM.</w:t>
      </w:r>
    </w:p>
    <w:p w14:paraId="43BD3E5E" w14:textId="77777777" w:rsidR="004036E1" w:rsidRPr="00810F85" w:rsidRDefault="004036E1" w:rsidP="004036E1">
      <w:pPr>
        <w:ind w:left="280"/>
        <w:jc w:val="both"/>
        <w:rPr>
          <w:rFonts w:eastAsia="Times New Roman"/>
          <w:highlight w:val="white"/>
        </w:rPr>
      </w:pPr>
      <w:r w:rsidRPr="00810F85">
        <w:rPr>
          <w:rFonts w:eastAsia="Times New Roman"/>
          <w:highlight w:val="white"/>
        </w:rPr>
        <w:t xml:space="preserve"> </w:t>
      </w:r>
    </w:p>
    <w:p w14:paraId="4E0E8738" w14:textId="77777777" w:rsidR="004036E1" w:rsidRPr="00810F85" w:rsidRDefault="004036E1" w:rsidP="004036E1">
      <w:pPr>
        <w:ind w:left="560" w:hanging="280"/>
        <w:jc w:val="both"/>
        <w:rPr>
          <w:rFonts w:eastAsia="Times New Roman"/>
          <w:highlight w:val="white"/>
        </w:rPr>
      </w:pPr>
      <w:r w:rsidRPr="00810F85">
        <w:rPr>
          <w:rFonts w:eastAsia="Times New Roman"/>
          <w:highlight w:val="white"/>
        </w:rPr>
        <w:t xml:space="preserve">b)  </w:t>
      </w:r>
      <w:r w:rsidRPr="00810F85">
        <w:rPr>
          <w:rFonts w:eastAsia="Times New Roman"/>
          <w:b/>
          <w:highlight w:val="white"/>
        </w:rPr>
        <w:t>Investigar modificación legal:</w:t>
      </w:r>
      <w:r w:rsidRPr="00810F85">
        <w:rPr>
          <w:rFonts w:eastAsia="Times New Roman"/>
          <w:highlight w:val="white"/>
        </w:rPr>
        <w:t xml:space="preserve"> Luego se deberá investigar los elementos a través de la revisión documental que podría decantar en una matriz de situación/riesgo con la modificación legislativa en la incorporación de las nuevas comunas aportantes al FCM.</w:t>
      </w:r>
    </w:p>
    <w:p w14:paraId="1E665ED7" w14:textId="77777777" w:rsidR="004036E1" w:rsidRPr="00810F85" w:rsidRDefault="004036E1" w:rsidP="004036E1">
      <w:pPr>
        <w:jc w:val="both"/>
        <w:rPr>
          <w:rFonts w:eastAsia="Times New Roman"/>
          <w:b/>
          <w:highlight w:val="white"/>
        </w:rPr>
      </w:pPr>
      <w:r w:rsidRPr="00810F85">
        <w:rPr>
          <w:rFonts w:eastAsia="Times New Roman"/>
          <w:b/>
          <w:highlight w:val="white"/>
        </w:rPr>
        <w:t xml:space="preserve"> </w:t>
      </w:r>
    </w:p>
    <w:p w14:paraId="58511C5F" w14:textId="77777777" w:rsidR="004036E1" w:rsidRPr="00810F85" w:rsidRDefault="004036E1" w:rsidP="004036E1">
      <w:pPr>
        <w:ind w:left="560" w:hanging="280"/>
        <w:jc w:val="both"/>
        <w:rPr>
          <w:rFonts w:eastAsia="Times New Roman"/>
          <w:highlight w:val="white"/>
        </w:rPr>
      </w:pPr>
      <w:r w:rsidRPr="00810F85">
        <w:rPr>
          <w:rFonts w:eastAsia="Times New Roman"/>
          <w:highlight w:val="white"/>
        </w:rPr>
        <w:t xml:space="preserve">c)   </w:t>
      </w:r>
      <w:r w:rsidRPr="00810F85">
        <w:rPr>
          <w:rFonts w:eastAsia="Times New Roman"/>
          <w:b/>
          <w:highlight w:val="white"/>
        </w:rPr>
        <w:t xml:space="preserve">Incorporar nuevas comunas aportantes al FCM con un aporte del 65% del Impuesto Territorial: </w:t>
      </w:r>
      <w:r w:rsidRPr="00810F85">
        <w:rPr>
          <w:rFonts w:eastAsia="Times New Roman"/>
          <w:highlight w:val="white"/>
        </w:rPr>
        <w:t>Para iniciar el ejercicio experimental se deberá utilizar técnicas estadísticas (</w:t>
      </w:r>
      <w:r w:rsidRPr="00810F85">
        <w:rPr>
          <w:rFonts w:eastAsia="Times New Roman"/>
          <w:b/>
          <w:color w:val="FF0000"/>
          <w:highlight w:val="white"/>
        </w:rPr>
        <w:t>no se como llamarlas</w:t>
      </w:r>
      <w:r w:rsidRPr="00810F85">
        <w:rPr>
          <w:rFonts w:eastAsia="Times New Roman"/>
          <w:highlight w:val="white"/>
        </w:rPr>
        <w:t xml:space="preserve">) para el procesamiento de los componentes del FCM recalculando sólo el Impuesto Territorial ya que éste corresponde a la principal fuente de recaudación del FCM.  </w:t>
      </w:r>
    </w:p>
    <w:p w14:paraId="3ABA402E" w14:textId="77777777" w:rsidR="004036E1" w:rsidRPr="00810F85" w:rsidRDefault="004036E1" w:rsidP="004036E1">
      <w:pPr>
        <w:jc w:val="both"/>
        <w:rPr>
          <w:rFonts w:eastAsia="Times New Roman"/>
          <w:highlight w:val="white"/>
        </w:rPr>
      </w:pPr>
      <w:r w:rsidRPr="00810F85">
        <w:rPr>
          <w:rFonts w:eastAsia="Times New Roman"/>
          <w:highlight w:val="white"/>
        </w:rPr>
        <w:t xml:space="preserve"> </w:t>
      </w:r>
    </w:p>
    <w:p w14:paraId="163CEC1F" w14:textId="77777777" w:rsidR="004036E1" w:rsidRPr="00810F85" w:rsidRDefault="004036E1" w:rsidP="004036E1">
      <w:pPr>
        <w:ind w:left="280"/>
        <w:jc w:val="both"/>
        <w:rPr>
          <w:rFonts w:eastAsia="Times New Roman"/>
          <w:highlight w:val="white"/>
        </w:rPr>
      </w:pPr>
      <w:r w:rsidRPr="00810F85">
        <w:rPr>
          <w:rFonts w:eastAsia="Times New Roman"/>
          <w:highlight w:val="white"/>
        </w:rPr>
        <w:t xml:space="preserve">Para esto se realizará alguna regla matemática a la base de dato, estimando los datos reales del Impuesto Territorial a un 100% de lo recaudado. Luego se procederá a realizar regla </w:t>
      </w:r>
      <w:r w:rsidR="009E0D2D" w:rsidRPr="00810F85">
        <w:rPr>
          <w:rFonts w:eastAsia="Times New Roman"/>
          <w:highlight w:val="white"/>
        </w:rPr>
        <w:t>matemática</w:t>
      </w:r>
      <w:r w:rsidRPr="00810F85">
        <w:rPr>
          <w:rFonts w:eastAsia="Times New Roman"/>
          <w:highlight w:val="white"/>
        </w:rPr>
        <w:t xml:space="preserve"> con aplicando el 65% del monto total recaudado del Impuesto </w:t>
      </w:r>
      <w:r w:rsidRPr="00810F85">
        <w:rPr>
          <w:rFonts w:eastAsia="Times New Roman"/>
          <w:highlight w:val="white"/>
        </w:rPr>
        <w:lastRenderedPageBreak/>
        <w:t>Territorial a las nuevas comunas incorporadas de acuerdo al análisis previo (Incluyendo las 4 grandes comunas señaladas por Ley).</w:t>
      </w:r>
    </w:p>
    <w:p w14:paraId="3A3B18B6" w14:textId="77777777" w:rsidR="004036E1" w:rsidRPr="00810F85" w:rsidRDefault="004036E1" w:rsidP="004036E1">
      <w:pPr>
        <w:jc w:val="both"/>
        <w:rPr>
          <w:rFonts w:eastAsia="Times New Roman"/>
          <w:highlight w:val="white"/>
        </w:rPr>
      </w:pPr>
      <w:r w:rsidRPr="00810F85">
        <w:rPr>
          <w:rFonts w:eastAsia="Times New Roman"/>
          <w:highlight w:val="white"/>
        </w:rPr>
        <w:t xml:space="preserve"> </w:t>
      </w:r>
    </w:p>
    <w:p w14:paraId="082FC17B" w14:textId="77777777" w:rsidR="004036E1" w:rsidRPr="00810F85" w:rsidRDefault="004036E1" w:rsidP="004036E1">
      <w:pPr>
        <w:jc w:val="both"/>
        <w:rPr>
          <w:rFonts w:eastAsia="Times New Roman"/>
          <w:highlight w:val="white"/>
        </w:rPr>
      </w:pPr>
      <w:r w:rsidRPr="00810F85">
        <w:rPr>
          <w:rFonts w:eastAsia="Times New Roman"/>
          <w:highlight w:val="white"/>
        </w:rPr>
        <w:t xml:space="preserve">d) </w:t>
      </w:r>
      <w:r w:rsidRPr="00810F85">
        <w:rPr>
          <w:rFonts w:eastAsia="Times New Roman"/>
          <w:b/>
          <w:highlight w:val="white"/>
        </w:rPr>
        <w:t>Comparar valores de Impuesto Territorial reales versus los calculados:</w:t>
      </w:r>
      <w:r w:rsidRPr="00810F85">
        <w:rPr>
          <w:rFonts w:eastAsia="Times New Roman"/>
          <w:highlight w:val="white"/>
        </w:rPr>
        <w:t xml:space="preserve"> Realizar análisis </w:t>
      </w:r>
      <w:r w:rsidR="009E0D2D" w:rsidRPr="00810F85">
        <w:rPr>
          <w:rFonts w:eastAsia="Times New Roman"/>
          <w:highlight w:val="white"/>
        </w:rPr>
        <w:t>contra factual</w:t>
      </w:r>
      <w:r w:rsidRPr="00810F85">
        <w:rPr>
          <w:rFonts w:eastAsia="Times New Roman"/>
          <w:highlight w:val="white"/>
        </w:rPr>
        <w:t>, es decir se planteará una evaluación comparando los datos de la serie de tiempo 2012-2017 entre los valores reales de la fuente de recaudación al FCM por Impuesto Territorial versus la nueva recaudación por Impuesto Territorial al FCM incorporando las nuevas comunas aportantes.</w:t>
      </w:r>
    </w:p>
    <w:p w14:paraId="2B1E4A7A" w14:textId="77777777" w:rsidR="004036E1" w:rsidRPr="00810F85" w:rsidRDefault="004036E1" w:rsidP="004036E1">
      <w:pPr>
        <w:jc w:val="both"/>
        <w:rPr>
          <w:rFonts w:eastAsia="Times New Roman"/>
          <w:highlight w:val="white"/>
        </w:rPr>
      </w:pPr>
      <w:r w:rsidRPr="00810F85">
        <w:rPr>
          <w:rFonts w:eastAsia="Times New Roman"/>
          <w:highlight w:val="white"/>
        </w:rPr>
        <w:t xml:space="preserve"> </w:t>
      </w:r>
    </w:p>
    <w:p w14:paraId="441BE60A" w14:textId="77777777" w:rsidR="004036E1" w:rsidRPr="00810F85" w:rsidRDefault="004036E1" w:rsidP="004036E1">
      <w:pPr>
        <w:jc w:val="both"/>
        <w:rPr>
          <w:rFonts w:eastAsia="Times New Roman"/>
          <w:highlight w:val="white"/>
        </w:rPr>
      </w:pPr>
      <w:r w:rsidRPr="00810F85">
        <w:rPr>
          <w:rFonts w:eastAsia="Times New Roman"/>
          <w:highlight w:val="white"/>
        </w:rPr>
        <w:t xml:space="preserve">e) </w:t>
      </w:r>
      <w:r w:rsidRPr="00810F85">
        <w:rPr>
          <w:rFonts w:eastAsia="Times New Roman"/>
          <w:b/>
          <w:highlight w:val="white"/>
        </w:rPr>
        <w:t>Estimar la redistribución Municipal del país:</w:t>
      </w:r>
      <w:r w:rsidRPr="00810F85">
        <w:rPr>
          <w:rFonts w:eastAsia="Times New Roman"/>
          <w:highlight w:val="white"/>
        </w:rPr>
        <w:t xml:space="preserve"> En el escenario hipotético por parte de las posibles nuevas comunas aportantes por Impuesto Territorial, se procederá a calcular y estimar la redistribución municipal utilizando los coeficientes anuales de participación del FCM exportados del SINIM.</w:t>
      </w:r>
    </w:p>
    <w:p w14:paraId="7D54DE8D" w14:textId="77777777" w:rsidR="004036E1" w:rsidRPr="00810F85" w:rsidRDefault="004036E1" w:rsidP="004036E1">
      <w:pPr>
        <w:jc w:val="both"/>
        <w:rPr>
          <w:rFonts w:eastAsia="Times New Roman"/>
          <w:highlight w:val="white"/>
        </w:rPr>
      </w:pPr>
      <w:r w:rsidRPr="00810F85">
        <w:rPr>
          <w:rFonts w:eastAsia="Times New Roman"/>
          <w:highlight w:val="white"/>
        </w:rPr>
        <w:t xml:space="preserve"> </w:t>
      </w:r>
    </w:p>
    <w:p w14:paraId="3BEACE05" w14:textId="77777777" w:rsidR="004036E1" w:rsidRPr="00810F85" w:rsidRDefault="004036E1" w:rsidP="004036E1">
      <w:pPr>
        <w:jc w:val="both"/>
        <w:rPr>
          <w:rFonts w:eastAsia="Times New Roman"/>
          <w:highlight w:val="white"/>
        </w:rPr>
      </w:pPr>
      <w:r w:rsidRPr="00810F85">
        <w:rPr>
          <w:rFonts w:eastAsia="Times New Roman"/>
          <w:highlight w:val="white"/>
        </w:rPr>
        <w:t xml:space="preserve">f) </w:t>
      </w:r>
      <w:r w:rsidRPr="00810F85">
        <w:rPr>
          <w:rFonts w:eastAsia="Times New Roman"/>
          <w:b/>
          <w:highlight w:val="white"/>
        </w:rPr>
        <w:t xml:space="preserve">Comparar los valores redistribuidos en el escenario </w:t>
      </w:r>
      <w:r w:rsidR="009E0D2D" w:rsidRPr="00810F85">
        <w:rPr>
          <w:rFonts w:eastAsia="Times New Roman"/>
          <w:b/>
          <w:highlight w:val="white"/>
        </w:rPr>
        <w:t>hipotético</w:t>
      </w:r>
      <w:r w:rsidRPr="00810F85">
        <w:rPr>
          <w:rFonts w:eastAsia="Times New Roman"/>
          <w:highlight w:val="white"/>
        </w:rPr>
        <w:t xml:space="preserve">: Se realizará un análisis </w:t>
      </w:r>
      <w:r w:rsidR="009E0D2D" w:rsidRPr="00810F85">
        <w:rPr>
          <w:rFonts w:eastAsia="Times New Roman"/>
          <w:highlight w:val="white"/>
        </w:rPr>
        <w:t>contra factual</w:t>
      </w:r>
      <w:r w:rsidRPr="00810F85">
        <w:rPr>
          <w:rFonts w:eastAsia="Times New Roman"/>
          <w:highlight w:val="white"/>
        </w:rPr>
        <w:t xml:space="preserve"> entre los valores reales distribuidos versus los valores recalculados y se procederá a analizar su variación comunal.</w:t>
      </w:r>
    </w:p>
    <w:p w14:paraId="39EE66F7" w14:textId="77777777" w:rsidR="004036E1" w:rsidRPr="00810F85" w:rsidRDefault="004036E1" w:rsidP="004036E1">
      <w:pPr>
        <w:jc w:val="both"/>
        <w:rPr>
          <w:rFonts w:eastAsia="Times New Roman"/>
          <w:highlight w:val="white"/>
        </w:rPr>
      </w:pPr>
      <w:r w:rsidRPr="00810F85">
        <w:rPr>
          <w:rFonts w:eastAsia="Times New Roman"/>
          <w:highlight w:val="white"/>
        </w:rPr>
        <w:t xml:space="preserve"> </w:t>
      </w:r>
    </w:p>
    <w:p w14:paraId="09F0E0B5" w14:textId="77777777" w:rsidR="004036E1" w:rsidRPr="00810F85" w:rsidRDefault="004036E1" w:rsidP="004036E1">
      <w:pPr>
        <w:jc w:val="both"/>
        <w:rPr>
          <w:rFonts w:eastAsia="Times New Roman"/>
          <w:highlight w:val="white"/>
        </w:rPr>
      </w:pPr>
      <w:r w:rsidRPr="00810F85">
        <w:rPr>
          <w:rFonts w:eastAsia="Times New Roman"/>
          <w:highlight w:val="white"/>
        </w:rPr>
        <w:t xml:space="preserve">g) </w:t>
      </w:r>
      <w:r w:rsidRPr="00810F85">
        <w:rPr>
          <w:rFonts w:eastAsia="Times New Roman"/>
          <w:b/>
          <w:highlight w:val="white"/>
        </w:rPr>
        <w:t>Analizar el impacto de la nueva redistribución en los presupuestos comunales</w:t>
      </w:r>
      <w:r w:rsidRPr="00810F85">
        <w:rPr>
          <w:rFonts w:eastAsia="Times New Roman"/>
          <w:highlight w:val="white"/>
        </w:rPr>
        <w:t xml:space="preserve">: Con los valores recalculados por redistribución, se procederá a reemplazar los valores en los presupuestos comunales para comparar los efectos presupuestarios comunales. Aquí se revisará el impacto a nivel comunal con los nuevos fondos recibidos por los municipios para analizar su variación de dependencia del FCM en el escenario </w:t>
      </w:r>
      <w:r w:rsidR="009E0D2D" w:rsidRPr="00810F85">
        <w:rPr>
          <w:rFonts w:eastAsia="Times New Roman"/>
          <w:highlight w:val="white"/>
        </w:rPr>
        <w:t>hipotético</w:t>
      </w:r>
      <w:r w:rsidRPr="00810F85">
        <w:rPr>
          <w:rFonts w:eastAsia="Times New Roman"/>
          <w:highlight w:val="white"/>
        </w:rPr>
        <w:t>.</w:t>
      </w:r>
    </w:p>
    <w:p w14:paraId="78E94476" w14:textId="77777777" w:rsidR="004036E1" w:rsidRPr="00810F85" w:rsidRDefault="004036E1" w:rsidP="004036E1">
      <w:pPr>
        <w:jc w:val="both"/>
        <w:rPr>
          <w:rFonts w:eastAsia="Times New Roman"/>
          <w:highlight w:val="white"/>
        </w:rPr>
      </w:pPr>
      <w:r w:rsidRPr="00810F85">
        <w:rPr>
          <w:rFonts w:eastAsia="Times New Roman"/>
          <w:highlight w:val="white"/>
        </w:rPr>
        <w:t xml:space="preserve"> </w:t>
      </w:r>
    </w:p>
    <w:p w14:paraId="27F4525D" w14:textId="77777777" w:rsidR="004036E1" w:rsidRPr="00810F85" w:rsidRDefault="004036E1" w:rsidP="004036E1">
      <w:pPr>
        <w:jc w:val="both"/>
        <w:rPr>
          <w:rFonts w:eastAsia="Times New Roman"/>
          <w:highlight w:val="white"/>
        </w:rPr>
      </w:pPr>
      <w:r w:rsidRPr="00810F85">
        <w:rPr>
          <w:rFonts w:eastAsia="Times New Roman"/>
          <w:highlight w:val="white"/>
        </w:rPr>
        <w:t xml:space="preserve">h) </w:t>
      </w:r>
      <w:r w:rsidRPr="00810F85">
        <w:rPr>
          <w:rFonts w:eastAsia="Times New Roman"/>
          <w:b/>
          <w:highlight w:val="white"/>
        </w:rPr>
        <w:t xml:space="preserve">Agrupar resultados en </w:t>
      </w:r>
      <w:r w:rsidR="009E0D2D" w:rsidRPr="00810F85">
        <w:rPr>
          <w:rFonts w:eastAsia="Times New Roman"/>
          <w:b/>
          <w:highlight w:val="white"/>
        </w:rPr>
        <w:t>Tipografías</w:t>
      </w:r>
      <w:r w:rsidRPr="00810F85">
        <w:rPr>
          <w:rFonts w:eastAsia="Times New Roman"/>
          <w:b/>
          <w:highlight w:val="white"/>
        </w:rPr>
        <w:t xml:space="preserve"> comunales:</w:t>
      </w:r>
      <w:r w:rsidRPr="00810F85">
        <w:rPr>
          <w:rFonts w:eastAsia="Times New Roman"/>
          <w:highlight w:val="white"/>
        </w:rPr>
        <w:t xml:space="preserve"> Finalmente, una vez realizada la </w:t>
      </w:r>
      <w:r w:rsidR="009E0D2D" w:rsidRPr="00810F85">
        <w:rPr>
          <w:rFonts w:eastAsia="Times New Roman"/>
          <w:highlight w:val="white"/>
        </w:rPr>
        <w:t>evolución</w:t>
      </w:r>
      <w:r w:rsidRPr="00810F85">
        <w:rPr>
          <w:rFonts w:eastAsia="Times New Roman"/>
          <w:highlight w:val="white"/>
        </w:rPr>
        <w:t xml:space="preserve"> </w:t>
      </w:r>
      <w:r w:rsidR="009E0D2D" w:rsidRPr="00810F85">
        <w:rPr>
          <w:rFonts w:eastAsia="Times New Roman"/>
          <w:highlight w:val="white"/>
        </w:rPr>
        <w:t>contra factual</w:t>
      </w:r>
      <w:r w:rsidRPr="00810F85">
        <w:rPr>
          <w:rFonts w:eastAsia="Times New Roman"/>
          <w:highlight w:val="white"/>
        </w:rPr>
        <w:t xml:space="preserve"> de las variaciones de los presupuestos comunales, se deberá clasificar la comparación </w:t>
      </w:r>
      <w:r w:rsidR="009E0D2D" w:rsidRPr="00810F85">
        <w:rPr>
          <w:rFonts w:eastAsia="Times New Roman"/>
          <w:highlight w:val="white"/>
        </w:rPr>
        <w:t>contra factual</w:t>
      </w:r>
      <w:r w:rsidRPr="00810F85">
        <w:rPr>
          <w:rFonts w:eastAsia="Times New Roman"/>
          <w:highlight w:val="white"/>
        </w:rPr>
        <w:t xml:space="preserve"> entre </w:t>
      </w:r>
      <w:r w:rsidR="009E0D2D" w:rsidRPr="00810F85">
        <w:rPr>
          <w:rFonts w:eastAsia="Times New Roman"/>
          <w:highlight w:val="white"/>
        </w:rPr>
        <w:t>las tipologías comunales</w:t>
      </w:r>
      <w:r w:rsidRPr="00810F85">
        <w:rPr>
          <w:rFonts w:eastAsia="Times New Roman"/>
          <w:highlight w:val="white"/>
        </w:rPr>
        <w:t xml:space="preserve"> (clasificación de grupo de comunas) para realizar analizar los efectos en sus presupuestos.</w:t>
      </w:r>
    </w:p>
    <w:p w14:paraId="6308780C" w14:textId="77777777" w:rsidR="004036E1" w:rsidRPr="00810F85" w:rsidRDefault="004036E1" w:rsidP="004036E1">
      <w:pPr>
        <w:jc w:val="both"/>
        <w:rPr>
          <w:rFonts w:eastAsia="Times New Roman"/>
          <w:highlight w:val="white"/>
        </w:rPr>
      </w:pPr>
      <w:r w:rsidRPr="00810F85">
        <w:rPr>
          <w:rFonts w:eastAsia="Times New Roman"/>
          <w:highlight w:val="white"/>
        </w:rPr>
        <w:t xml:space="preserve"> </w:t>
      </w:r>
    </w:p>
    <w:p w14:paraId="56F26263" w14:textId="77777777" w:rsidR="004036E1" w:rsidRPr="00810F85" w:rsidRDefault="004036E1" w:rsidP="004036E1">
      <w:pPr>
        <w:jc w:val="both"/>
        <w:rPr>
          <w:rFonts w:eastAsia="Times New Roman"/>
          <w:highlight w:val="white"/>
        </w:rPr>
      </w:pPr>
      <w:r w:rsidRPr="00810F85">
        <w:rPr>
          <w:rFonts w:eastAsia="Times New Roman"/>
          <w:highlight w:val="white"/>
        </w:rPr>
        <w:t xml:space="preserve">g) Para finalizar se realizarán las conclusiones respectivas en los ejes señalados en los objetivos </w:t>
      </w:r>
      <w:r w:rsidR="009E0D2D" w:rsidRPr="00810F85">
        <w:rPr>
          <w:rFonts w:eastAsia="Times New Roman"/>
          <w:highlight w:val="white"/>
        </w:rPr>
        <w:t>específicos</w:t>
      </w:r>
      <w:r w:rsidRPr="00810F85">
        <w:rPr>
          <w:rFonts w:eastAsia="Times New Roman"/>
          <w:highlight w:val="white"/>
        </w:rPr>
        <w:t xml:space="preserve"> los cuales se han realizado en las letras anteriores.</w:t>
      </w:r>
    </w:p>
    <w:p w14:paraId="2BB55DBD" w14:textId="77777777" w:rsidR="004036E1" w:rsidRPr="00810F85" w:rsidRDefault="004036E1" w:rsidP="004036E1">
      <w:pPr>
        <w:ind w:left="720"/>
        <w:jc w:val="both"/>
        <w:rPr>
          <w:rFonts w:eastAsia="Times New Roman"/>
        </w:rPr>
      </w:pPr>
      <w:r w:rsidRPr="00810F85">
        <w:rPr>
          <w:rFonts w:eastAsia="Times New Roman"/>
        </w:rPr>
        <w:t xml:space="preserve"> </w:t>
      </w:r>
    </w:p>
    <w:p w14:paraId="67D9D31B" w14:textId="77777777" w:rsidR="00936D79" w:rsidRDefault="00936D79" w:rsidP="00936D79">
      <w:pPr>
        <w:pStyle w:val="Ttulo1"/>
        <w:ind w:left="720"/>
        <w:rPr>
          <w:rFonts w:ascii="Arial" w:hAnsi="Arial" w:cs="Arial"/>
          <w:color w:val="auto"/>
          <w:sz w:val="22"/>
          <w:szCs w:val="22"/>
        </w:rPr>
      </w:pPr>
      <w:bookmarkStart w:id="11" w:name="_Toc530596787"/>
    </w:p>
    <w:p w14:paraId="2A849C89" w14:textId="77777777" w:rsidR="00936D79" w:rsidRDefault="00936D79" w:rsidP="00936D79">
      <w:pPr>
        <w:pStyle w:val="Ttulo1"/>
        <w:ind w:left="720"/>
        <w:rPr>
          <w:rFonts w:ascii="Arial" w:hAnsi="Arial" w:cs="Arial"/>
          <w:color w:val="auto"/>
          <w:sz w:val="22"/>
          <w:szCs w:val="22"/>
        </w:rPr>
      </w:pPr>
    </w:p>
    <w:p w14:paraId="3C75F28F" w14:textId="77777777" w:rsidR="00936D79" w:rsidRDefault="00936D79" w:rsidP="00936D79"/>
    <w:p w14:paraId="13E73A09" w14:textId="77777777" w:rsidR="00936D79" w:rsidRDefault="00936D79" w:rsidP="00936D79">
      <w:pPr>
        <w:pStyle w:val="Ttulo1"/>
        <w:ind w:left="720"/>
        <w:rPr>
          <w:rFonts w:ascii="Arial" w:eastAsia="Arial" w:hAnsi="Arial" w:cs="Arial"/>
          <w:b w:val="0"/>
          <w:bCs w:val="0"/>
          <w:color w:val="000000"/>
          <w:sz w:val="22"/>
          <w:szCs w:val="22"/>
        </w:rPr>
      </w:pPr>
    </w:p>
    <w:p w14:paraId="28AA15D5" w14:textId="77777777" w:rsidR="00936D79" w:rsidRPr="00936D79" w:rsidRDefault="00936D79" w:rsidP="00936D79"/>
    <w:p w14:paraId="20144673" w14:textId="77777777" w:rsidR="001B4456" w:rsidRPr="00810F85" w:rsidRDefault="009041FC" w:rsidP="0052143A">
      <w:pPr>
        <w:pStyle w:val="Ttulo1"/>
        <w:numPr>
          <w:ilvl w:val="0"/>
          <w:numId w:val="1"/>
        </w:numPr>
        <w:rPr>
          <w:rFonts w:ascii="Arial" w:hAnsi="Arial" w:cs="Arial"/>
          <w:color w:val="auto"/>
          <w:sz w:val="22"/>
          <w:szCs w:val="22"/>
        </w:rPr>
      </w:pPr>
      <w:r w:rsidRPr="00810F85">
        <w:rPr>
          <w:rFonts w:ascii="Arial" w:hAnsi="Arial" w:cs="Arial"/>
          <w:color w:val="auto"/>
          <w:sz w:val="22"/>
          <w:szCs w:val="22"/>
        </w:rPr>
        <w:lastRenderedPageBreak/>
        <w:t>RESULTADOS</w:t>
      </w:r>
      <w:bookmarkEnd w:id="11"/>
    </w:p>
    <w:p w14:paraId="44DF7ADA" w14:textId="77777777" w:rsidR="009041FC" w:rsidRPr="00810F85" w:rsidRDefault="009041FC" w:rsidP="009041FC"/>
    <w:p w14:paraId="4C78C533" w14:textId="77777777" w:rsidR="004D6960" w:rsidRPr="00810F85" w:rsidRDefault="004D6960" w:rsidP="009041FC"/>
    <w:p w14:paraId="503224B8" w14:textId="77777777" w:rsidR="004D6960" w:rsidRPr="00810F85" w:rsidRDefault="00897760" w:rsidP="009041FC">
      <w:pPr>
        <w:rPr>
          <w:rFonts w:eastAsia="Times New Roman"/>
          <w:highlight w:val="white"/>
        </w:rPr>
      </w:pPr>
      <w:r w:rsidRPr="00810F85">
        <w:rPr>
          <w:rFonts w:eastAsia="Times New Roman"/>
          <w:highlight w:val="white"/>
        </w:rPr>
        <w:t>Los datos necesarios para la metodología se encuentran en mi poder para i</w:t>
      </w:r>
      <w:r w:rsidR="00376551" w:rsidRPr="00810F85">
        <w:rPr>
          <w:rFonts w:eastAsia="Times New Roman"/>
          <w:highlight w:val="white"/>
        </w:rPr>
        <w:t>niciar los cál</w:t>
      </w:r>
      <w:r w:rsidRPr="00810F85">
        <w:rPr>
          <w:rFonts w:eastAsia="Times New Roman"/>
          <w:highlight w:val="white"/>
        </w:rPr>
        <w:t>culos respectivos y empezar con el experimiento.</w:t>
      </w:r>
      <w:r w:rsidR="004D6960" w:rsidRPr="00810F85">
        <w:rPr>
          <w:rFonts w:eastAsia="Times New Roman"/>
          <w:highlight w:val="white"/>
        </w:rPr>
        <w:t xml:space="preserve"> </w:t>
      </w:r>
    </w:p>
    <w:p w14:paraId="2EB795F7" w14:textId="77777777" w:rsidR="00D13718" w:rsidRPr="00810F85" w:rsidRDefault="00D13718" w:rsidP="009041FC">
      <w:pPr>
        <w:rPr>
          <w:rFonts w:eastAsia="Times New Roman"/>
          <w:highlight w:val="white"/>
        </w:rPr>
      </w:pPr>
    </w:p>
    <w:p w14:paraId="5400E684" w14:textId="77777777" w:rsidR="00D13718" w:rsidRPr="00810F85" w:rsidRDefault="00D13718" w:rsidP="009041FC">
      <w:pPr>
        <w:rPr>
          <w:rFonts w:eastAsia="Times New Roman"/>
          <w:highlight w:val="white"/>
        </w:rPr>
      </w:pPr>
      <w:r w:rsidRPr="00810F85">
        <w:rPr>
          <w:rFonts w:eastAsia="Times New Roman"/>
          <w:highlight w:val="white"/>
        </w:rPr>
        <w:t>Los resultados esperados son los siguientes:</w:t>
      </w:r>
    </w:p>
    <w:p w14:paraId="4198423A" w14:textId="77777777" w:rsidR="00D13718" w:rsidRPr="00810F85" w:rsidRDefault="00D13718" w:rsidP="009041FC">
      <w:pPr>
        <w:rPr>
          <w:rFonts w:eastAsia="Times New Roman"/>
          <w:highlight w:val="white"/>
        </w:rPr>
      </w:pPr>
    </w:p>
    <w:p w14:paraId="0931709C" w14:textId="77777777" w:rsidR="0038056B" w:rsidRPr="00810F85" w:rsidRDefault="0038056B" w:rsidP="0038056B">
      <w:pPr>
        <w:pStyle w:val="NormalWeb"/>
        <w:numPr>
          <w:ilvl w:val="0"/>
          <w:numId w:val="9"/>
        </w:numPr>
        <w:shd w:val="clear" w:color="auto" w:fill="FFFFFF"/>
        <w:spacing w:before="0" w:beforeAutospacing="0" w:after="0" w:afterAutospacing="0"/>
        <w:jc w:val="both"/>
        <w:textAlignment w:val="baseline"/>
        <w:rPr>
          <w:rFonts w:ascii="Arial" w:hAnsi="Arial" w:cs="Arial"/>
          <w:color w:val="000000"/>
          <w:sz w:val="22"/>
          <w:szCs w:val="22"/>
          <w:highlight w:val="white"/>
        </w:rPr>
      </w:pPr>
      <w:r w:rsidRPr="00810F85">
        <w:rPr>
          <w:rFonts w:ascii="Arial" w:hAnsi="Arial" w:cs="Arial"/>
          <w:color w:val="000000"/>
          <w:sz w:val="22"/>
          <w:szCs w:val="22"/>
          <w:highlight w:val="white"/>
        </w:rPr>
        <w:t>Describir el mecanismo modificado que permita incorporar nuevos contribuyentes al grupo de comunas que aportan un 65% del impuesto territorial al FCM.</w:t>
      </w:r>
    </w:p>
    <w:p w14:paraId="48B9B35D" w14:textId="77777777" w:rsidR="0038056B" w:rsidRPr="00810F85" w:rsidRDefault="0038056B" w:rsidP="0038056B">
      <w:pPr>
        <w:pStyle w:val="NormalWeb"/>
        <w:shd w:val="clear" w:color="auto" w:fill="FFFFFF"/>
        <w:spacing w:before="0" w:beforeAutospacing="0" w:after="0" w:afterAutospacing="0"/>
        <w:ind w:left="360"/>
        <w:jc w:val="both"/>
        <w:textAlignment w:val="baseline"/>
        <w:rPr>
          <w:rFonts w:ascii="Arial" w:hAnsi="Arial" w:cs="Arial"/>
          <w:color w:val="000000"/>
          <w:sz w:val="22"/>
          <w:szCs w:val="22"/>
          <w:highlight w:val="white"/>
        </w:rPr>
      </w:pPr>
    </w:p>
    <w:p w14:paraId="1722D473" w14:textId="77777777" w:rsidR="0038056B" w:rsidRPr="00810F85" w:rsidRDefault="0038056B" w:rsidP="0038056B">
      <w:pPr>
        <w:pStyle w:val="NormalWeb"/>
        <w:numPr>
          <w:ilvl w:val="0"/>
          <w:numId w:val="9"/>
        </w:numPr>
        <w:shd w:val="clear" w:color="auto" w:fill="FFFFFF"/>
        <w:spacing w:before="0" w:beforeAutospacing="0" w:after="0" w:afterAutospacing="0"/>
        <w:jc w:val="both"/>
        <w:textAlignment w:val="baseline"/>
        <w:rPr>
          <w:rFonts w:ascii="Arial" w:hAnsi="Arial" w:cs="Arial"/>
          <w:color w:val="000000"/>
          <w:sz w:val="22"/>
          <w:szCs w:val="22"/>
          <w:highlight w:val="white"/>
        </w:rPr>
      </w:pPr>
      <w:r w:rsidRPr="00810F85">
        <w:rPr>
          <w:rFonts w:ascii="Arial" w:hAnsi="Arial" w:cs="Arial"/>
          <w:color w:val="000000"/>
          <w:sz w:val="22"/>
          <w:szCs w:val="22"/>
          <w:highlight w:val="white"/>
        </w:rPr>
        <w:t>Detallar los nuevos ingresos al FCM a nivel nacional a raíz de la modificación legal.</w:t>
      </w:r>
    </w:p>
    <w:p w14:paraId="2E3CF534" w14:textId="77777777" w:rsidR="0038056B" w:rsidRPr="00810F85" w:rsidRDefault="0038056B" w:rsidP="0038056B">
      <w:pPr>
        <w:pStyle w:val="NormalWeb"/>
        <w:shd w:val="clear" w:color="auto" w:fill="FFFFFF"/>
        <w:spacing w:before="0" w:beforeAutospacing="0" w:after="0" w:afterAutospacing="0"/>
        <w:jc w:val="both"/>
        <w:textAlignment w:val="baseline"/>
        <w:rPr>
          <w:rFonts w:ascii="Arial" w:hAnsi="Arial" w:cs="Arial"/>
          <w:color w:val="000000"/>
          <w:sz w:val="22"/>
          <w:szCs w:val="22"/>
          <w:highlight w:val="white"/>
        </w:rPr>
      </w:pPr>
    </w:p>
    <w:p w14:paraId="739792EB" w14:textId="77777777" w:rsidR="0038056B" w:rsidRPr="00810F85" w:rsidRDefault="0038056B" w:rsidP="0038056B">
      <w:pPr>
        <w:pStyle w:val="NormalWeb"/>
        <w:numPr>
          <w:ilvl w:val="0"/>
          <w:numId w:val="9"/>
        </w:numPr>
        <w:shd w:val="clear" w:color="auto" w:fill="FFFFFF"/>
        <w:spacing w:before="0" w:beforeAutospacing="0" w:after="0" w:afterAutospacing="0"/>
        <w:jc w:val="both"/>
        <w:textAlignment w:val="baseline"/>
        <w:rPr>
          <w:rFonts w:ascii="Arial" w:hAnsi="Arial" w:cs="Arial"/>
          <w:color w:val="000000"/>
          <w:sz w:val="22"/>
          <w:szCs w:val="22"/>
          <w:highlight w:val="white"/>
        </w:rPr>
      </w:pPr>
      <w:r w:rsidRPr="00810F85">
        <w:rPr>
          <w:rFonts w:ascii="Arial" w:hAnsi="Arial" w:cs="Arial"/>
          <w:color w:val="000000"/>
          <w:sz w:val="22"/>
          <w:szCs w:val="22"/>
          <w:highlight w:val="white"/>
        </w:rPr>
        <w:t xml:space="preserve">Figurar y comparar los efectos en el presupuesto comunal en base a la modificación de los ingresos y su redistribución en base a tipología comunal. </w:t>
      </w:r>
    </w:p>
    <w:p w14:paraId="18EC4912" w14:textId="77777777" w:rsidR="00D13718" w:rsidRPr="00810F85" w:rsidRDefault="00D13718" w:rsidP="009041FC"/>
    <w:p w14:paraId="3BBBE938" w14:textId="77777777" w:rsidR="00D13718" w:rsidRPr="00810F85" w:rsidRDefault="00D13718" w:rsidP="009041FC"/>
    <w:p w14:paraId="32EECD3B" w14:textId="77777777" w:rsidR="009041FC" w:rsidRPr="00810F85" w:rsidRDefault="009041FC" w:rsidP="0052143A">
      <w:pPr>
        <w:pStyle w:val="Ttulo1"/>
        <w:numPr>
          <w:ilvl w:val="0"/>
          <w:numId w:val="1"/>
        </w:numPr>
        <w:rPr>
          <w:rFonts w:ascii="Arial" w:hAnsi="Arial" w:cs="Arial"/>
          <w:color w:val="auto"/>
          <w:sz w:val="22"/>
          <w:szCs w:val="22"/>
        </w:rPr>
      </w:pPr>
      <w:bookmarkStart w:id="12" w:name="_Toc530596788"/>
      <w:r w:rsidRPr="00810F85">
        <w:rPr>
          <w:rFonts w:ascii="Arial" w:hAnsi="Arial" w:cs="Arial"/>
          <w:color w:val="auto"/>
          <w:sz w:val="22"/>
          <w:szCs w:val="22"/>
        </w:rPr>
        <w:t>ANÁLISIS Y RECOMENDACIONES</w:t>
      </w:r>
      <w:bookmarkEnd w:id="12"/>
    </w:p>
    <w:p w14:paraId="0E4419A4" w14:textId="77777777" w:rsidR="009041FC" w:rsidRPr="00810F85" w:rsidRDefault="009041FC" w:rsidP="009041FC"/>
    <w:p w14:paraId="65986DCF" w14:textId="77777777" w:rsidR="00FC148A" w:rsidRPr="00810F85" w:rsidRDefault="00FC148A" w:rsidP="009041FC"/>
    <w:p w14:paraId="23B9981C" w14:textId="77777777" w:rsidR="00FC148A" w:rsidRDefault="00FC148A" w:rsidP="009041FC"/>
    <w:p w14:paraId="220D31F5" w14:textId="77777777" w:rsidR="00CD30EB" w:rsidRDefault="00CD30EB" w:rsidP="009041FC"/>
    <w:p w14:paraId="6F4237ED" w14:textId="77777777" w:rsidR="00CD30EB" w:rsidRDefault="00CD30EB" w:rsidP="009041FC"/>
    <w:p w14:paraId="5A687A94" w14:textId="77777777" w:rsidR="00CD30EB" w:rsidRDefault="00CD30EB" w:rsidP="009041FC"/>
    <w:p w14:paraId="753366CA" w14:textId="77777777" w:rsidR="00CD30EB" w:rsidRDefault="00CD30EB" w:rsidP="009041FC"/>
    <w:p w14:paraId="4FFB4A38" w14:textId="77777777" w:rsidR="00CD30EB" w:rsidRDefault="00CD30EB" w:rsidP="009041FC"/>
    <w:p w14:paraId="765B237A" w14:textId="77777777" w:rsidR="00CD30EB" w:rsidRDefault="00CD30EB" w:rsidP="009041FC"/>
    <w:p w14:paraId="216CF70F" w14:textId="77777777" w:rsidR="00CD30EB" w:rsidRDefault="00CD30EB" w:rsidP="009041FC"/>
    <w:p w14:paraId="6C4EB81D" w14:textId="77777777" w:rsidR="00CD30EB" w:rsidRDefault="00CD30EB" w:rsidP="009041FC"/>
    <w:p w14:paraId="22FA1D2F" w14:textId="77777777" w:rsidR="00CD30EB" w:rsidRDefault="00CD30EB" w:rsidP="009041FC"/>
    <w:p w14:paraId="703E563C" w14:textId="77777777" w:rsidR="00CD30EB" w:rsidRDefault="00CD30EB" w:rsidP="009041FC"/>
    <w:p w14:paraId="227F248C" w14:textId="77777777" w:rsidR="00936D79" w:rsidRDefault="00936D79" w:rsidP="009041FC"/>
    <w:p w14:paraId="02A9E64E" w14:textId="77777777" w:rsidR="00936D79" w:rsidRDefault="00936D79" w:rsidP="009041FC"/>
    <w:p w14:paraId="4AF4F0D6" w14:textId="77777777" w:rsidR="00936D79" w:rsidRDefault="00936D79" w:rsidP="009041FC"/>
    <w:p w14:paraId="31C82BEB" w14:textId="77777777" w:rsidR="00CD30EB" w:rsidRDefault="00CD30EB" w:rsidP="009041FC"/>
    <w:p w14:paraId="6749AF9C" w14:textId="77777777" w:rsidR="00CD30EB" w:rsidRDefault="00CD30EB" w:rsidP="009041FC"/>
    <w:p w14:paraId="10E2DA54" w14:textId="77777777" w:rsidR="00CD30EB" w:rsidRDefault="00CD30EB" w:rsidP="009041FC"/>
    <w:p w14:paraId="69DE7625" w14:textId="77777777" w:rsidR="00CD30EB" w:rsidRDefault="00CD30EB" w:rsidP="009041FC"/>
    <w:p w14:paraId="16675B09" w14:textId="77777777" w:rsidR="00CD30EB" w:rsidRDefault="00CD30EB" w:rsidP="009041FC"/>
    <w:p w14:paraId="161C29D6" w14:textId="77777777" w:rsidR="00936D79" w:rsidRDefault="00936D79" w:rsidP="009041FC"/>
    <w:p w14:paraId="517DA7BF" w14:textId="77777777" w:rsidR="00E50D6E" w:rsidRPr="00810F85" w:rsidRDefault="00E50D6E" w:rsidP="009041FC"/>
    <w:p w14:paraId="5C991C48" w14:textId="77777777" w:rsidR="00FC148A" w:rsidRPr="00810F85" w:rsidRDefault="00FC148A" w:rsidP="00FC148A">
      <w:pPr>
        <w:pStyle w:val="Ttulo1"/>
        <w:numPr>
          <w:ilvl w:val="0"/>
          <w:numId w:val="1"/>
        </w:numPr>
        <w:rPr>
          <w:rFonts w:ascii="Arial" w:hAnsi="Arial" w:cs="Arial"/>
          <w:color w:val="auto"/>
          <w:sz w:val="22"/>
          <w:szCs w:val="22"/>
        </w:rPr>
      </w:pPr>
      <w:r w:rsidRPr="00810F85">
        <w:rPr>
          <w:rFonts w:ascii="Arial" w:hAnsi="Arial" w:cs="Arial"/>
          <w:color w:val="auto"/>
          <w:sz w:val="22"/>
          <w:szCs w:val="22"/>
        </w:rPr>
        <w:lastRenderedPageBreak/>
        <w:t>PLANIFICACIÓN DE TRABAJO</w:t>
      </w:r>
    </w:p>
    <w:p w14:paraId="78DEE473" w14:textId="77777777" w:rsidR="00FC148A" w:rsidRDefault="00FC148A" w:rsidP="00FC148A"/>
    <w:tbl>
      <w:tblPr>
        <w:tblpPr w:leftFromText="141" w:rightFromText="141" w:vertAnchor="text" w:horzAnchor="margin" w:tblpXSpec="center" w:tblpY="76"/>
        <w:tblW w:w="12122" w:type="dxa"/>
        <w:tblCellMar>
          <w:left w:w="70" w:type="dxa"/>
          <w:right w:w="70" w:type="dxa"/>
        </w:tblCellMar>
        <w:tblLook w:val="04A0" w:firstRow="1" w:lastRow="0" w:firstColumn="1" w:lastColumn="0" w:noHBand="0" w:noVBand="1"/>
      </w:tblPr>
      <w:tblGrid>
        <w:gridCol w:w="1880"/>
        <w:gridCol w:w="320"/>
        <w:gridCol w:w="320"/>
        <w:gridCol w:w="320"/>
        <w:gridCol w:w="320"/>
        <w:gridCol w:w="320"/>
        <w:gridCol w:w="320"/>
        <w:gridCol w:w="320"/>
        <w:gridCol w:w="320"/>
        <w:gridCol w:w="316"/>
        <w:gridCol w:w="316"/>
        <w:gridCol w:w="316"/>
        <w:gridCol w:w="316"/>
        <w:gridCol w:w="316"/>
        <w:gridCol w:w="316"/>
        <w:gridCol w:w="316"/>
        <w:gridCol w:w="316"/>
        <w:gridCol w:w="316"/>
        <w:gridCol w:w="316"/>
        <w:gridCol w:w="323"/>
        <w:gridCol w:w="323"/>
        <w:gridCol w:w="323"/>
        <w:gridCol w:w="323"/>
        <w:gridCol w:w="323"/>
        <w:gridCol w:w="323"/>
        <w:gridCol w:w="323"/>
        <w:gridCol w:w="323"/>
        <w:gridCol w:w="323"/>
        <w:gridCol w:w="323"/>
        <w:gridCol w:w="323"/>
        <w:gridCol w:w="323"/>
        <w:gridCol w:w="323"/>
        <w:gridCol w:w="323"/>
      </w:tblGrid>
      <w:tr w:rsidR="00CD30EB" w:rsidRPr="00CD30EB" w14:paraId="5B17CCA8" w14:textId="77777777" w:rsidTr="00CD30EB">
        <w:trPr>
          <w:trHeight w:val="300"/>
        </w:trPr>
        <w:tc>
          <w:tcPr>
            <w:tcW w:w="1880" w:type="dxa"/>
            <w:vMerge w:val="restart"/>
            <w:tcBorders>
              <w:top w:val="nil"/>
              <w:left w:val="nil"/>
              <w:bottom w:val="nil"/>
              <w:right w:val="single" w:sz="4" w:space="0" w:color="A6A6A6"/>
            </w:tcBorders>
            <w:shd w:val="clear" w:color="auto" w:fill="auto"/>
            <w:noWrap/>
            <w:vAlign w:val="center"/>
            <w:hideMark/>
          </w:tcPr>
          <w:p w14:paraId="19EEF801" w14:textId="77777777" w:rsidR="00CD30EB" w:rsidRPr="00CD30EB" w:rsidRDefault="00CD30EB" w:rsidP="00CD30EB">
            <w:pPr>
              <w:spacing w:line="240" w:lineRule="auto"/>
              <w:jc w:val="center"/>
              <w:rPr>
                <w:rFonts w:ascii="Calibri" w:eastAsia="Times New Roman" w:hAnsi="Calibri" w:cs="Times New Roman"/>
              </w:rPr>
            </w:pPr>
            <w:r w:rsidRPr="00CD30EB">
              <w:rPr>
                <w:rFonts w:ascii="Calibri" w:eastAsia="Times New Roman" w:hAnsi="Calibri" w:cs="Times New Roman"/>
              </w:rPr>
              <w:t> </w:t>
            </w:r>
          </w:p>
        </w:tc>
        <w:tc>
          <w:tcPr>
            <w:tcW w:w="2560" w:type="dxa"/>
            <w:gridSpan w:val="8"/>
            <w:tcBorders>
              <w:top w:val="single" w:sz="4" w:space="0" w:color="FFFFFF"/>
              <w:left w:val="nil"/>
              <w:bottom w:val="single" w:sz="4" w:space="0" w:color="FFFFFF"/>
              <w:right w:val="single" w:sz="4" w:space="0" w:color="FFFFFF"/>
            </w:tcBorders>
            <w:shd w:val="clear" w:color="000000" w:fill="BFBFBF"/>
            <w:noWrap/>
            <w:vAlign w:val="center"/>
            <w:hideMark/>
          </w:tcPr>
          <w:p w14:paraId="7FAD0B50"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2018</w:t>
            </w:r>
          </w:p>
        </w:tc>
        <w:tc>
          <w:tcPr>
            <w:tcW w:w="7682" w:type="dxa"/>
            <w:gridSpan w:val="24"/>
            <w:tcBorders>
              <w:top w:val="single" w:sz="4" w:space="0" w:color="FFFFFF"/>
              <w:left w:val="nil"/>
              <w:bottom w:val="single" w:sz="4" w:space="0" w:color="FFFFFF"/>
              <w:right w:val="single" w:sz="4" w:space="0" w:color="FFFFFF"/>
            </w:tcBorders>
            <w:shd w:val="clear" w:color="000000" w:fill="BFBFBF"/>
            <w:noWrap/>
            <w:vAlign w:val="center"/>
            <w:hideMark/>
          </w:tcPr>
          <w:p w14:paraId="2C97EACF"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2019</w:t>
            </w:r>
          </w:p>
        </w:tc>
      </w:tr>
      <w:tr w:rsidR="00CD30EB" w:rsidRPr="00CD30EB" w14:paraId="016C846C" w14:textId="77777777" w:rsidTr="00CD30EB">
        <w:trPr>
          <w:trHeight w:val="300"/>
        </w:trPr>
        <w:tc>
          <w:tcPr>
            <w:tcW w:w="1880" w:type="dxa"/>
            <w:vMerge/>
            <w:tcBorders>
              <w:top w:val="nil"/>
              <w:left w:val="nil"/>
              <w:bottom w:val="nil"/>
              <w:right w:val="single" w:sz="4" w:space="0" w:color="A6A6A6"/>
            </w:tcBorders>
            <w:vAlign w:val="center"/>
            <w:hideMark/>
          </w:tcPr>
          <w:p w14:paraId="3B13317B" w14:textId="77777777" w:rsidR="00CD30EB" w:rsidRPr="00CD30EB" w:rsidRDefault="00CD30EB" w:rsidP="00CD30EB">
            <w:pPr>
              <w:spacing w:line="240" w:lineRule="auto"/>
              <w:rPr>
                <w:rFonts w:ascii="Calibri" w:eastAsia="Times New Roman" w:hAnsi="Calibri" w:cs="Times New Roman"/>
              </w:rPr>
            </w:pPr>
          </w:p>
        </w:tc>
        <w:tc>
          <w:tcPr>
            <w:tcW w:w="1280" w:type="dxa"/>
            <w:gridSpan w:val="4"/>
            <w:tcBorders>
              <w:top w:val="single" w:sz="4" w:space="0" w:color="FFFFFF"/>
              <w:left w:val="nil"/>
              <w:bottom w:val="single" w:sz="4" w:space="0" w:color="FFFFFF"/>
              <w:right w:val="single" w:sz="4" w:space="0" w:color="FFFFFF"/>
            </w:tcBorders>
            <w:shd w:val="clear" w:color="000000" w:fill="BFBFBF"/>
            <w:noWrap/>
            <w:vAlign w:val="center"/>
            <w:hideMark/>
          </w:tcPr>
          <w:p w14:paraId="6A5E1D76"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NOV.</w:t>
            </w:r>
          </w:p>
        </w:tc>
        <w:tc>
          <w:tcPr>
            <w:tcW w:w="1280" w:type="dxa"/>
            <w:gridSpan w:val="4"/>
            <w:tcBorders>
              <w:top w:val="single" w:sz="4" w:space="0" w:color="FFFFFF"/>
              <w:left w:val="nil"/>
              <w:bottom w:val="single" w:sz="4" w:space="0" w:color="FFFFFF"/>
              <w:right w:val="single" w:sz="4" w:space="0" w:color="FFFFFF"/>
            </w:tcBorders>
            <w:shd w:val="clear" w:color="000000" w:fill="BFBFBF"/>
            <w:noWrap/>
            <w:vAlign w:val="center"/>
            <w:hideMark/>
          </w:tcPr>
          <w:p w14:paraId="379D39A5"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DIC.</w:t>
            </w:r>
          </w:p>
        </w:tc>
        <w:tc>
          <w:tcPr>
            <w:tcW w:w="1264" w:type="dxa"/>
            <w:gridSpan w:val="4"/>
            <w:tcBorders>
              <w:top w:val="single" w:sz="4" w:space="0" w:color="FFFFFF"/>
              <w:left w:val="nil"/>
              <w:bottom w:val="single" w:sz="4" w:space="0" w:color="FFFFFF"/>
              <w:right w:val="single" w:sz="4" w:space="0" w:color="FFFFFF"/>
            </w:tcBorders>
            <w:shd w:val="clear" w:color="000000" w:fill="BFBFBF"/>
            <w:noWrap/>
            <w:vAlign w:val="center"/>
            <w:hideMark/>
          </w:tcPr>
          <w:p w14:paraId="25B9397F"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ENERO</w:t>
            </w:r>
          </w:p>
        </w:tc>
        <w:tc>
          <w:tcPr>
            <w:tcW w:w="1264" w:type="dxa"/>
            <w:gridSpan w:val="4"/>
            <w:tcBorders>
              <w:top w:val="single" w:sz="4" w:space="0" w:color="FFFFFF"/>
              <w:left w:val="nil"/>
              <w:bottom w:val="single" w:sz="4" w:space="0" w:color="FFFFFF"/>
              <w:right w:val="single" w:sz="4" w:space="0" w:color="FFFFFF"/>
            </w:tcBorders>
            <w:shd w:val="clear" w:color="000000" w:fill="BFBFBF"/>
            <w:noWrap/>
            <w:vAlign w:val="center"/>
            <w:hideMark/>
          </w:tcPr>
          <w:p w14:paraId="4DDF8CB6"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FEBRERO</w:t>
            </w:r>
          </w:p>
        </w:tc>
        <w:tc>
          <w:tcPr>
            <w:tcW w:w="1278" w:type="dxa"/>
            <w:gridSpan w:val="4"/>
            <w:tcBorders>
              <w:top w:val="single" w:sz="4" w:space="0" w:color="FFFFFF"/>
              <w:left w:val="nil"/>
              <w:bottom w:val="single" w:sz="4" w:space="0" w:color="FFFFFF"/>
              <w:right w:val="single" w:sz="4" w:space="0" w:color="FFFFFF"/>
            </w:tcBorders>
            <w:shd w:val="clear" w:color="000000" w:fill="BFBFBF"/>
            <w:noWrap/>
            <w:vAlign w:val="center"/>
            <w:hideMark/>
          </w:tcPr>
          <w:p w14:paraId="1425F836"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MARZO</w:t>
            </w:r>
          </w:p>
        </w:tc>
        <w:tc>
          <w:tcPr>
            <w:tcW w:w="1292" w:type="dxa"/>
            <w:gridSpan w:val="4"/>
            <w:tcBorders>
              <w:top w:val="single" w:sz="4" w:space="0" w:color="FFFFFF"/>
              <w:left w:val="nil"/>
              <w:bottom w:val="single" w:sz="4" w:space="0" w:color="FFFFFF"/>
              <w:right w:val="single" w:sz="4" w:space="0" w:color="FFFFFF"/>
            </w:tcBorders>
            <w:shd w:val="clear" w:color="000000" w:fill="BFBFBF"/>
            <w:noWrap/>
            <w:vAlign w:val="center"/>
            <w:hideMark/>
          </w:tcPr>
          <w:p w14:paraId="0FAFFE25"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 xml:space="preserve">ABRIL </w:t>
            </w:r>
          </w:p>
        </w:tc>
        <w:tc>
          <w:tcPr>
            <w:tcW w:w="1292" w:type="dxa"/>
            <w:gridSpan w:val="4"/>
            <w:tcBorders>
              <w:top w:val="single" w:sz="4" w:space="0" w:color="FFFFFF"/>
              <w:left w:val="nil"/>
              <w:bottom w:val="single" w:sz="4" w:space="0" w:color="FFFFFF"/>
              <w:right w:val="single" w:sz="4" w:space="0" w:color="FFFFFF"/>
            </w:tcBorders>
            <w:shd w:val="clear" w:color="000000" w:fill="BFBFBF"/>
            <w:noWrap/>
            <w:vAlign w:val="center"/>
            <w:hideMark/>
          </w:tcPr>
          <w:p w14:paraId="6DB592B4"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MAYO</w:t>
            </w:r>
          </w:p>
        </w:tc>
        <w:tc>
          <w:tcPr>
            <w:tcW w:w="1292" w:type="dxa"/>
            <w:gridSpan w:val="4"/>
            <w:tcBorders>
              <w:top w:val="single" w:sz="4" w:space="0" w:color="FFFFFF"/>
              <w:left w:val="nil"/>
              <w:bottom w:val="single" w:sz="4" w:space="0" w:color="FFFFFF"/>
              <w:right w:val="single" w:sz="4" w:space="0" w:color="FFFFFF"/>
            </w:tcBorders>
            <w:shd w:val="clear" w:color="000000" w:fill="BFBFBF"/>
            <w:noWrap/>
            <w:vAlign w:val="center"/>
            <w:hideMark/>
          </w:tcPr>
          <w:p w14:paraId="69C9E53F"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JUNIO</w:t>
            </w:r>
          </w:p>
        </w:tc>
      </w:tr>
      <w:tr w:rsidR="00CD30EB" w:rsidRPr="00CD30EB" w14:paraId="72BB0639" w14:textId="77777777" w:rsidTr="00CD30EB">
        <w:trPr>
          <w:trHeight w:val="300"/>
        </w:trPr>
        <w:tc>
          <w:tcPr>
            <w:tcW w:w="1880" w:type="dxa"/>
            <w:vMerge/>
            <w:tcBorders>
              <w:top w:val="nil"/>
              <w:left w:val="nil"/>
              <w:bottom w:val="nil"/>
              <w:right w:val="single" w:sz="4" w:space="0" w:color="A6A6A6"/>
            </w:tcBorders>
            <w:vAlign w:val="center"/>
            <w:hideMark/>
          </w:tcPr>
          <w:p w14:paraId="3B20D13E" w14:textId="77777777" w:rsidR="00CD30EB" w:rsidRPr="00CD30EB" w:rsidRDefault="00CD30EB" w:rsidP="00CD30EB">
            <w:pPr>
              <w:spacing w:line="240" w:lineRule="auto"/>
              <w:rPr>
                <w:rFonts w:ascii="Calibri" w:eastAsia="Times New Roman" w:hAnsi="Calibri" w:cs="Times New Roman"/>
              </w:rPr>
            </w:pPr>
          </w:p>
        </w:tc>
        <w:tc>
          <w:tcPr>
            <w:tcW w:w="1280" w:type="dxa"/>
            <w:gridSpan w:val="4"/>
            <w:tcBorders>
              <w:top w:val="single" w:sz="4" w:space="0" w:color="FFFFFF"/>
              <w:left w:val="nil"/>
              <w:bottom w:val="nil"/>
              <w:right w:val="single" w:sz="4" w:space="0" w:color="FFFFFF"/>
            </w:tcBorders>
            <w:shd w:val="clear" w:color="000000" w:fill="BFBFBF"/>
            <w:noWrap/>
            <w:vAlign w:val="center"/>
            <w:hideMark/>
          </w:tcPr>
          <w:p w14:paraId="7507FF3A"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SEMANAS</w:t>
            </w:r>
          </w:p>
        </w:tc>
        <w:tc>
          <w:tcPr>
            <w:tcW w:w="1280" w:type="dxa"/>
            <w:gridSpan w:val="4"/>
            <w:tcBorders>
              <w:top w:val="single" w:sz="4" w:space="0" w:color="FFFFFF"/>
              <w:left w:val="nil"/>
              <w:bottom w:val="nil"/>
              <w:right w:val="single" w:sz="4" w:space="0" w:color="FFFFFF"/>
            </w:tcBorders>
            <w:shd w:val="clear" w:color="000000" w:fill="BFBFBF"/>
            <w:noWrap/>
            <w:vAlign w:val="center"/>
            <w:hideMark/>
          </w:tcPr>
          <w:p w14:paraId="4ED75938"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SEMANAS</w:t>
            </w:r>
          </w:p>
        </w:tc>
        <w:tc>
          <w:tcPr>
            <w:tcW w:w="1264" w:type="dxa"/>
            <w:gridSpan w:val="4"/>
            <w:tcBorders>
              <w:top w:val="single" w:sz="4" w:space="0" w:color="FFFFFF"/>
              <w:left w:val="nil"/>
              <w:bottom w:val="nil"/>
              <w:right w:val="single" w:sz="4" w:space="0" w:color="FFFFFF"/>
            </w:tcBorders>
            <w:shd w:val="clear" w:color="000000" w:fill="BFBFBF"/>
            <w:noWrap/>
            <w:vAlign w:val="center"/>
            <w:hideMark/>
          </w:tcPr>
          <w:p w14:paraId="36868AA4"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SEMANAS</w:t>
            </w:r>
          </w:p>
        </w:tc>
        <w:tc>
          <w:tcPr>
            <w:tcW w:w="1264" w:type="dxa"/>
            <w:gridSpan w:val="4"/>
            <w:tcBorders>
              <w:top w:val="single" w:sz="4" w:space="0" w:color="FFFFFF"/>
              <w:left w:val="nil"/>
              <w:bottom w:val="nil"/>
              <w:right w:val="single" w:sz="4" w:space="0" w:color="FFFFFF"/>
            </w:tcBorders>
            <w:shd w:val="clear" w:color="000000" w:fill="BFBFBF"/>
            <w:noWrap/>
            <w:vAlign w:val="center"/>
            <w:hideMark/>
          </w:tcPr>
          <w:p w14:paraId="6281927D"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SEMANAS</w:t>
            </w:r>
          </w:p>
        </w:tc>
        <w:tc>
          <w:tcPr>
            <w:tcW w:w="1278" w:type="dxa"/>
            <w:gridSpan w:val="4"/>
            <w:tcBorders>
              <w:top w:val="single" w:sz="4" w:space="0" w:color="FFFFFF"/>
              <w:left w:val="nil"/>
              <w:bottom w:val="nil"/>
              <w:right w:val="single" w:sz="4" w:space="0" w:color="FFFFFF"/>
            </w:tcBorders>
            <w:shd w:val="clear" w:color="000000" w:fill="BFBFBF"/>
            <w:noWrap/>
            <w:vAlign w:val="center"/>
            <w:hideMark/>
          </w:tcPr>
          <w:p w14:paraId="1FDDA83E"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SEMANAS</w:t>
            </w:r>
          </w:p>
        </w:tc>
        <w:tc>
          <w:tcPr>
            <w:tcW w:w="1292" w:type="dxa"/>
            <w:gridSpan w:val="4"/>
            <w:tcBorders>
              <w:top w:val="single" w:sz="4" w:space="0" w:color="FFFFFF"/>
              <w:left w:val="nil"/>
              <w:bottom w:val="nil"/>
              <w:right w:val="single" w:sz="4" w:space="0" w:color="FFFFFF"/>
            </w:tcBorders>
            <w:shd w:val="clear" w:color="000000" w:fill="BFBFBF"/>
            <w:noWrap/>
            <w:vAlign w:val="center"/>
            <w:hideMark/>
          </w:tcPr>
          <w:p w14:paraId="158C1C68"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SEMANAS</w:t>
            </w:r>
          </w:p>
        </w:tc>
        <w:tc>
          <w:tcPr>
            <w:tcW w:w="1292" w:type="dxa"/>
            <w:gridSpan w:val="4"/>
            <w:tcBorders>
              <w:top w:val="single" w:sz="4" w:space="0" w:color="FFFFFF"/>
              <w:left w:val="nil"/>
              <w:bottom w:val="nil"/>
              <w:right w:val="single" w:sz="4" w:space="0" w:color="FFFFFF"/>
            </w:tcBorders>
            <w:shd w:val="clear" w:color="000000" w:fill="BFBFBF"/>
            <w:noWrap/>
            <w:vAlign w:val="center"/>
            <w:hideMark/>
          </w:tcPr>
          <w:p w14:paraId="3B2A7901"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SEMANAS</w:t>
            </w:r>
          </w:p>
        </w:tc>
        <w:tc>
          <w:tcPr>
            <w:tcW w:w="1292" w:type="dxa"/>
            <w:gridSpan w:val="4"/>
            <w:tcBorders>
              <w:top w:val="single" w:sz="4" w:space="0" w:color="FFFFFF"/>
              <w:left w:val="nil"/>
              <w:bottom w:val="nil"/>
              <w:right w:val="single" w:sz="4" w:space="0" w:color="FFFFFF"/>
            </w:tcBorders>
            <w:shd w:val="clear" w:color="000000" w:fill="BFBFBF"/>
            <w:noWrap/>
            <w:vAlign w:val="center"/>
            <w:hideMark/>
          </w:tcPr>
          <w:p w14:paraId="6770F02E" w14:textId="77777777" w:rsidR="00CD30EB" w:rsidRPr="00CD30EB" w:rsidRDefault="00CD30EB" w:rsidP="00CD30EB">
            <w:pPr>
              <w:spacing w:line="240" w:lineRule="auto"/>
              <w:jc w:val="center"/>
              <w:rPr>
                <w:rFonts w:ascii="Calibri" w:eastAsia="Times New Roman" w:hAnsi="Calibri" w:cs="Times New Roman"/>
                <w:b/>
                <w:bCs/>
                <w:sz w:val="16"/>
                <w:szCs w:val="16"/>
              </w:rPr>
            </w:pPr>
            <w:r w:rsidRPr="00CD30EB">
              <w:rPr>
                <w:rFonts w:ascii="Calibri" w:eastAsia="Times New Roman" w:hAnsi="Calibri" w:cs="Times New Roman"/>
                <w:b/>
                <w:bCs/>
                <w:sz w:val="16"/>
                <w:szCs w:val="16"/>
              </w:rPr>
              <w:t>SEMANAS</w:t>
            </w:r>
          </w:p>
        </w:tc>
      </w:tr>
      <w:tr w:rsidR="00CD30EB" w:rsidRPr="00CD30EB" w14:paraId="114EDB33" w14:textId="77777777" w:rsidTr="00CD30EB">
        <w:trPr>
          <w:trHeight w:val="300"/>
        </w:trPr>
        <w:tc>
          <w:tcPr>
            <w:tcW w:w="1880" w:type="dxa"/>
            <w:vMerge/>
            <w:tcBorders>
              <w:top w:val="nil"/>
              <w:left w:val="nil"/>
              <w:bottom w:val="nil"/>
              <w:right w:val="single" w:sz="4" w:space="0" w:color="A6A6A6"/>
            </w:tcBorders>
            <w:vAlign w:val="center"/>
            <w:hideMark/>
          </w:tcPr>
          <w:p w14:paraId="0BEAC008" w14:textId="77777777" w:rsidR="00CD30EB" w:rsidRPr="00CD30EB" w:rsidRDefault="00CD30EB" w:rsidP="00CD30EB">
            <w:pPr>
              <w:spacing w:line="240" w:lineRule="auto"/>
              <w:rPr>
                <w:rFonts w:ascii="Calibri" w:eastAsia="Times New Roman" w:hAnsi="Calibri" w:cs="Times New Roman"/>
              </w:rPr>
            </w:pPr>
          </w:p>
        </w:tc>
        <w:tc>
          <w:tcPr>
            <w:tcW w:w="320" w:type="dxa"/>
            <w:tcBorders>
              <w:top w:val="single" w:sz="4" w:space="0" w:color="A6A6A6"/>
              <w:left w:val="nil"/>
              <w:bottom w:val="nil"/>
              <w:right w:val="single" w:sz="4" w:space="0" w:color="A6A6A6"/>
            </w:tcBorders>
            <w:shd w:val="clear" w:color="auto" w:fill="auto"/>
            <w:noWrap/>
            <w:vAlign w:val="center"/>
            <w:hideMark/>
          </w:tcPr>
          <w:p w14:paraId="47D5A82E"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1</w:t>
            </w:r>
          </w:p>
        </w:tc>
        <w:tc>
          <w:tcPr>
            <w:tcW w:w="320" w:type="dxa"/>
            <w:tcBorders>
              <w:top w:val="single" w:sz="4" w:space="0" w:color="A6A6A6"/>
              <w:left w:val="nil"/>
              <w:bottom w:val="nil"/>
              <w:right w:val="single" w:sz="4" w:space="0" w:color="A6A6A6"/>
            </w:tcBorders>
            <w:shd w:val="clear" w:color="auto" w:fill="auto"/>
            <w:noWrap/>
            <w:vAlign w:val="center"/>
            <w:hideMark/>
          </w:tcPr>
          <w:p w14:paraId="6AA1CC2B"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w:t>
            </w:r>
          </w:p>
        </w:tc>
        <w:tc>
          <w:tcPr>
            <w:tcW w:w="320" w:type="dxa"/>
            <w:tcBorders>
              <w:top w:val="single" w:sz="4" w:space="0" w:color="A6A6A6"/>
              <w:left w:val="nil"/>
              <w:bottom w:val="nil"/>
              <w:right w:val="single" w:sz="4" w:space="0" w:color="A6A6A6"/>
            </w:tcBorders>
            <w:shd w:val="clear" w:color="auto" w:fill="auto"/>
            <w:noWrap/>
            <w:vAlign w:val="center"/>
            <w:hideMark/>
          </w:tcPr>
          <w:p w14:paraId="5C227732"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3</w:t>
            </w:r>
          </w:p>
        </w:tc>
        <w:tc>
          <w:tcPr>
            <w:tcW w:w="320" w:type="dxa"/>
            <w:tcBorders>
              <w:top w:val="single" w:sz="4" w:space="0" w:color="A6A6A6"/>
              <w:left w:val="nil"/>
              <w:bottom w:val="nil"/>
              <w:right w:val="single" w:sz="4" w:space="0" w:color="A6A6A6"/>
            </w:tcBorders>
            <w:shd w:val="clear" w:color="auto" w:fill="auto"/>
            <w:noWrap/>
            <w:vAlign w:val="center"/>
            <w:hideMark/>
          </w:tcPr>
          <w:p w14:paraId="31439062"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4</w:t>
            </w:r>
          </w:p>
        </w:tc>
        <w:tc>
          <w:tcPr>
            <w:tcW w:w="320" w:type="dxa"/>
            <w:tcBorders>
              <w:top w:val="single" w:sz="4" w:space="0" w:color="A6A6A6"/>
              <w:left w:val="nil"/>
              <w:bottom w:val="nil"/>
              <w:right w:val="single" w:sz="4" w:space="0" w:color="A6A6A6"/>
            </w:tcBorders>
            <w:shd w:val="clear" w:color="auto" w:fill="auto"/>
            <w:noWrap/>
            <w:vAlign w:val="center"/>
            <w:hideMark/>
          </w:tcPr>
          <w:p w14:paraId="0806C391"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1</w:t>
            </w:r>
          </w:p>
        </w:tc>
        <w:tc>
          <w:tcPr>
            <w:tcW w:w="320" w:type="dxa"/>
            <w:tcBorders>
              <w:top w:val="single" w:sz="4" w:space="0" w:color="A6A6A6"/>
              <w:left w:val="nil"/>
              <w:bottom w:val="nil"/>
              <w:right w:val="single" w:sz="4" w:space="0" w:color="A6A6A6"/>
            </w:tcBorders>
            <w:shd w:val="clear" w:color="auto" w:fill="auto"/>
            <w:noWrap/>
            <w:vAlign w:val="center"/>
            <w:hideMark/>
          </w:tcPr>
          <w:p w14:paraId="06893B7D"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w:t>
            </w:r>
          </w:p>
        </w:tc>
        <w:tc>
          <w:tcPr>
            <w:tcW w:w="320" w:type="dxa"/>
            <w:tcBorders>
              <w:top w:val="single" w:sz="4" w:space="0" w:color="A6A6A6"/>
              <w:left w:val="nil"/>
              <w:bottom w:val="nil"/>
              <w:right w:val="single" w:sz="4" w:space="0" w:color="A6A6A6"/>
            </w:tcBorders>
            <w:shd w:val="clear" w:color="auto" w:fill="auto"/>
            <w:noWrap/>
            <w:vAlign w:val="center"/>
            <w:hideMark/>
          </w:tcPr>
          <w:p w14:paraId="59BBEB86"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3</w:t>
            </w:r>
          </w:p>
        </w:tc>
        <w:tc>
          <w:tcPr>
            <w:tcW w:w="320" w:type="dxa"/>
            <w:tcBorders>
              <w:top w:val="single" w:sz="4" w:space="0" w:color="A6A6A6"/>
              <w:left w:val="nil"/>
              <w:bottom w:val="nil"/>
              <w:right w:val="single" w:sz="4" w:space="0" w:color="A6A6A6"/>
            </w:tcBorders>
            <w:shd w:val="clear" w:color="auto" w:fill="auto"/>
            <w:noWrap/>
            <w:vAlign w:val="center"/>
            <w:hideMark/>
          </w:tcPr>
          <w:p w14:paraId="1947479A"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4</w:t>
            </w:r>
          </w:p>
        </w:tc>
        <w:tc>
          <w:tcPr>
            <w:tcW w:w="316" w:type="dxa"/>
            <w:tcBorders>
              <w:top w:val="single" w:sz="4" w:space="0" w:color="A6A6A6"/>
              <w:left w:val="nil"/>
              <w:bottom w:val="nil"/>
              <w:right w:val="single" w:sz="4" w:space="0" w:color="A6A6A6"/>
            </w:tcBorders>
            <w:shd w:val="clear" w:color="auto" w:fill="auto"/>
            <w:noWrap/>
            <w:vAlign w:val="center"/>
            <w:hideMark/>
          </w:tcPr>
          <w:p w14:paraId="5E92A334"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1</w:t>
            </w:r>
          </w:p>
        </w:tc>
        <w:tc>
          <w:tcPr>
            <w:tcW w:w="316" w:type="dxa"/>
            <w:tcBorders>
              <w:top w:val="single" w:sz="4" w:space="0" w:color="A6A6A6"/>
              <w:left w:val="nil"/>
              <w:bottom w:val="nil"/>
              <w:right w:val="single" w:sz="4" w:space="0" w:color="A6A6A6"/>
            </w:tcBorders>
            <w:shd w:val="clear" w:color="auto" w:fill="auto"/>
            <w:noWrap/>
            <w:vAlign w:val="center"/>
            <w:hideMark/>
          </w:tcPr>
          <w:p w14:paraId="3A8BEDF0"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w:t>
            </w:r>
          </w:p>
        </w:tc>
        <w:tc>
          <w:tcPr>
            <w:tcW w:w="316" w:type="dxa"/>
            <w:tcBorders>
              <w:top w:val="single" w:sz="4" w:space="0" w:color="A6A6A6"/>
              <w:left w:val="nil"/>
              <w:bottom w:val="nil"/>
              <w:right w:val="single" w:sz="4" w:space="0" w:color="A6A6A6"/>
            </w:tcBorders>
            <w:shd w:val="clear" w:color="auto" w:fill="auto"/>
            <w:noWrap/>
            <w:vAlign w:val="center"/>
            <w:hideMark/>
          </w:tcPr>
          <w:p w14:paraId="2533E72E"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3</w:t>
            </w:r>
          </w:p>
        </w:tc>
        <w:tc>
          <w:tcPr>
            <w:tcW w:w="316" w:type="dxa"/>
            <w:tcBorders>
              <w:top w:val="single" w:sz="4" w:space="0" w:color="A6A6A6"/>
              <w:left w:val="nil"/>
              <w:bottom w:val="nil"/>
              <w:right w:val="single" w:sz="4" w:space="0" w:color="A6A6A6"/>
            </w:tcBorders>
            <w:shd w:val="clear" w:color="auto" w:fill="auto"/>
            <w:noWrap/>
            <w:vAlign w:val="center"/>
            <w:hideMark/>
          </w:tcPr>
          <w:p w14:paraId="5338A521"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4</w:t>
            </w:r>
          </w:p>
        </w:tc>
        <w:tc>
          <w:tcPr>
            <w:tcW w:w="316" w:type="dxa"/>
            <w:tcBorders>
              <w:top w:val="single" w:sz="4" w:space="0" w:color="A6A6A6"/>
              <w:left w:val="nil"/>
              <w:bottom w:val="nil"/>
              <w:right w:val="single" w:sz="4" w:space="0" w:color="A6A6A6"/>
            </w:tcBorders>
            <w:shd w:val="clear" w:color="auto" w:fill="auto"/>
            <w:noWrap/>
            <w:vAlign w:val="center"/>
            <w:hideMark/>
          </w:tcPr>
          <w:p w14:paraId="3F23BF86"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1</w:t>
            </w:r>
          </w:p>
        </w:tc>
        <w:tc>
          <w:tcPr>
            <w:tcW w:w="316" w:type="dxa"/>
            <w:tcBorders>
              <w:top w:val="single" w:sz="4" w:space="0" w:color="A6A6A6"/>
              <w:left w:val="nil"/>
              <w:bottom w:val="nil"/>
              <w:right w:val="single" w:sz="4" w:space="0" w:color="A6A6A6"/>
            </w:tcBorders>
            <w:shd w:val="clear" w:color="auto" w:fill="auto"/>
            <w:noWrap/>
            <w:vAlign w:val="center"/>
            <w:hideMark/>
          </w:tcPr>
          <w:p w14:paraId="59775E08"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w:t>
            </w:r>
          </w:p>
        </w:tc>
        <w:tc>
          <w:tcPr>
            <w:tcW w:w="316" w:type="dxa"/>
            <w:tcBorders>
              <w:top w:val="single" w:sz="4" w:space="0" w:color="A6A6A6"/>
              <w:left w:val="nil"/>
              <w:bottom w:val="nil"/>
              <w:right w:val="single" w:sz="4" w:space="0" w:color="A6A6A6"/>
            </w:tcBorders>
            <w:shd w:val="clear" w:color="auto" w:fill="auto"/>
            <w:noWrap/>
            <w:vAlign w:val="center"/>
            <w:hideMark/>
          </w:tcPr>
          <w:p w14:paraId="535F3764"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3</w:t>
            </w:r>
          </w:p>
        </w:tc>
        <w:tc>
          <w:tcPr>
            <w:tcW w:w="316" w:type="dxa"/>
            <w:tcBorders>
              <w:top w:val="single" w:sz="4" w:space="0" w:color="A6A6A6"/>
              <w:left w:val="nil"/>
              <w:bottom w:val="nil"/>
              <w:right w:val="single" w:sz="4" w:space="0" w:color="A6A6A6"/>
            </w:tcBorders>
            <w:shd w:val="clear" w:color="auto" w:fill="auto"/>
            <w:noWrap/>
            <w:vAlign w:val="center"/>
            <w:hideMark/>
          </w:tcPr>
          <w:p w14:paraId="06DCD30B"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4</w:t>
            </w:r>
          </w:p>
        </w:tc>
        <w:tc>
          <w:tcPr>
            <w:tcW w:w="316" w:type="dxa"/>
            <w:tcBorders>
              <w:top w:val="single" w:sz="4" w:space="0" w:color="A6A6A6"/>
              <w:left w:val="nil"/>
              <w:bottom w:val="nil"/>
              <w:right w:val="single" w:sz="4" w:space="0" w:color="A6A6A6"/>
            </w:tcBorders>
            <w:shd w:val="clear" w:color="auto" w:fill="auto"/>
            <w:noWrap/>
            <w:vAlign w:val="center"/>
            <w:hideMark/>
          </w:tcPr>
          <w:p w14:paraId="60990D0F"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1</w:t>
            </w:r>
          </w:p>
        </w:tc>
        <w:tc>
          <w:tcPr>
            <w:tcW w:w="316" w:type="dxa"/>
            <w:tcBorders>
              <w:top w:val="single" w:sz="4" w:space="0" w:color="A6A6A6"/>
              <w:left w:val="nil"/>
              <w:bottom w:val="nil"/>
              <w:right w:val="single" w:sz="4" w:space="0" w:color="A6A6A6"/>
            </w:tcBorders>
            <w:shd w:val="clear" w:color="auto" w:fill="auto"/>
            <w:noWrap/>
            <w:vAlign w:val="center"/>
            <w:hideMark/>
          </w:tcPr>
          <w:p w14:paraId="6A96DDE6"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w:t>
            </w:r>
          </w:p>
        </w:tc>
        <w:tc>
          <w:tcPr>
            <w:tcW w:w="323" w:type="dxa"/>
            <w:tcBorders>
              <w:top w:val="single" w:sz="4" w:space="0" w:color="A6A6A6"/>
              <w:left w:val="nil"/>
              <w:bottom w:val="nil"/>
              <w:right w:val="single" w:sz="4" w:space="0" w:color="A6A6A6"/>
            </w:tcBorders>
            <w:shd w:val="clear" w:color="auto" w:fill="auto"/>
            <w:noWrap/>
            <w:vAlign w:val="center"/>
            <w:hideMark/>
          </w:tcPr>
          <w:p w14:paraId="38CBBE83"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3</w:t>
            </w:r>
          </w:p>
        </w:tc>
        <w:tc>
          <w:tcPr>
            <w:tcW w:w="323" w:type="dxa"/>
            <w:tcBorders>
              <w:top w:val="single" w:sz="4" w:space="0" w:color="A6A6A6"/>
              <w:left w:val="nil"/>
              <w:bottom w:val="nil"/>
              <w:right w:val="single" w:sz="4" w:space="0" w:color="A6A6A6"/>
            </w:tcBorders>
            <w:shd w:val="clear" w:color="auto" w:fill="auto"/>
            <w:noWrap/>
            <w:vAlign w:val="center"/>
            <w:hideMark/>
          </w:tcPr>
          <w:p w14:paraId="7B586806"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4</w:t>
            </w:r>
          </w:p>
        </w:tc>
        <w:tc>
          <w:tcPr>
            <w:tcW w:w="323" w:type="dxa"/>
            <w:tcBorders>
              <w:top w:val="single" w:sz="4" w:space="0" w:color="A6A6A6"/>
              <w:left w:val="nil"/>
              <w:bottom w:val="nil"/>
              <w:right w:val="single" w:sz="4" w:space="0" w:color="A6A6A6"/>
            </w:tcBorders>
            <w:shd w:val="clear" w:color="auto" w:fill="auto"/>
            <w:noWrap/>
            <w:vAlign w:val="center"/>
            <w:hideMark/>
          </w:tcPr>
          <w:p w14:paraId="099BB67A"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1</w:t>
            </w:r>
          </w:p>
        </w:tc>
        <w:tc>
          <w:tcPr>
            <w:tcW w:w="323" w:type="dxa"/>
            <w:tcBorders>
              <w:top w:val="single" w:sz="4" w:space="0" w:color="A6A6A6"/>
              <w:left w:val="nil"/>
              <w:bottom w:val="nil"/>
              <w:right w:val="single" w:sz="4" w:space="0" w:color="A6A6A6"/>
            </w:tcBorders>
            <w:shd w:val="clear" w:color="auto" w:fill="auto"/>
            <w:noWrap/>
            <w:vAlign w:val="center"/>
            <w:hideMark/>
          </w:tcPr>
          <w:p w14:paraId="35B42962"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w:t>
            </w:r>
          </w:p>
        </w:tc>
        <w:tc>
          <w:tcPr>
            <w:tcW w:w="323" w:type="dxa"/>
            <w:tcBorders>
              <w:top w:val="single" w:sz="4" w:space="0" w:color="A6A6A6"/>
              <w:left w:val="nil"/>
              <w:bottom w:val="nil"/>
              <w:right w:val="single" w:sz="4" w:space="0" w:color="A6A6A6"/>
            </w:tcBorders>
            <w:shd w:val="clear" w:color="auto" w:fill="auto"/>
            <w:noWrap/>
            <w:vAlign w:val="center"/>
            <w:hideMark/>
          </w:tcPr>
          <w:p w14:paraId="5BA45DE1"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3</w:t>
            </w:r>
          </w:p>
        </w:tc>
        <w:tc>
          <w:tcPr>
            <w:tcW w:w="323" w:type="dxa"/>
            <w:tcBorders>
              <w:top w:val="single" w:sz="4" w:space="0" w:color="A6A6A6"/>
              <w:left w:val="nil"/>
              <w:bottom w:val="nil"/>
              <w:right w:val="single" w:sz="4" w:space="0" w:color="A6A6A6"/>
            </w:tcBorders>
            <w:shd w:val="clear" w:color="auto" w:fill="auto"/>
            <w:noWrap/>
            <w:vAlign w:val="center"/>
            <w:hideMark/>
          </w:tcPr>
          <w:p w14:paraId="4BB2734E"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4</w:t>
            </w:r>
          </w:p>
        </w:tc>
        <w:tc>
          <w:tcPr>
            <w:tcW w:w="323" w:type="dxa"/>
            <w:tcBorders>
              <w:top w:val="single" w:sz="4" w:space="0" w:color="A6A6A6"/>
              <w:left w:val="nil"/>
              <w:bottom w:val="nil"/>
              <w:right w:val="single" w:sz="4" w:space="0" w:color="A6A6A6"/>
            </w:tcBorders>
            <w:shd w:val="clear" w:color="auto" w:fill="auto"/>
            <w:noWrap/>
            <w:vAlign w:val="center"/>
            <w:hideMark/>
          </w:tcPr>
          <w:p w14:paraId="17FE46C3"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1</w:t>
            </w:r>
          </w:p>
        </w:tc>
        <w:tc>
          <w:tcPr>
            <w:tcW w:w="323" w:type="dxa"/>
            <w:tcBorders>
              <w:top w:val="single" w:sz="4" w:space="0" w:color="A6A6A6"/>
              <w:left w:val="nil"/>
              <w:bottom w:val="nil"/>
              <w:right w:val="single" w:sz="4" w:space="0" w:color="A6A6A6"/>
            </w:tcBorders>
            <w:shd w:val="clear" w:color="auto" w:fill="auto"/>
            <w:noWrap/>
            <w:vAlign w:val="center"/>
            <w:hideMark/>
          </w:tcPr>
          <w:p w14:paraId="10ED6F00"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w:t>
            </w:r>
          </w:p>
        </w:tc>
        <w:tc>
          <w:tcPr>
            <w:tcW w:w="323" w:type="dxa"/>
            <w:tcBorders>
              <w:top w:val="single" w:sz="4" w:space="0" w:color="A6A6A6"/>
              <w:left w:val="nil"/>
              <w:bottom w:val="nil"/>
              <w:right w:val="single" w:sz="4" w:space="0" w:color="A6A6A6"/>
            </w:tcBorders>
            <w:shd w:val="clear" w:color="auto" w:fill="auto"/>
            <w:noWrap/>
            <w:vAlign w:val="center"/>
            <w:hideMark/>
          </w:tcPr>
          <w:p w14:paraId="7FC80366"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3</w:t>
            </w:r>
          </w:p>
        </w:tc>
        <w:tc>
          <w:tcPr>
            <w:tcW w:w="323" w:type="dxa"/>
            <w:tcBorders>
              <w:top w:val="single" w:sz="4" w:space="0" w:color="A6A6A6"/>
              <w:left w:val="nil"/>
              <w:bottom w:val="nil"/>
              <w:right w:val="single" w:sz="4" w:space="0" w:color="A6A6A6"/>
            </w:tcBorders>
            <w:shd w:val="clear" w:color="auto" w:fill="auto"/>
            <w:noWrap/>
            <w:vAlign w:val="center"/>
            <w:hideMark/>
          </w:tcPr>
          <w:p w14:paraId="37376D4C"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4</w:t>
            </w:r>
          </w:p>
        </w:tc>
        <w:tc>
          <w:tcPr>
            <w:tcW w:w="323" w:type="dxa"/>
            <w:tcBorders>
              <w:top w:val="single" w:sz="4" w:space="0" w:color="A6A6A6"/>
              <w:left w:val="nil"/>
              <w:bottom w:val="nil"/>
              <w:right w:val="single" w:sz="4" w:space="0" w:color="A6A6A6"/>
            </w:tcBorders>
            <w:shd w:val="clear" w:color="auto" w:fill="auto"/>
            <w:noWrap/>
            <w:vAlign w:val="center"/>
            <w:hideMark/>
          </w:tcPr>
          <w:p w14:paraId="6468BF38"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1</w:t>
            </w:r>
          </w:p>
        </w:tc>
        <w:tc>
          <w:tcPr>
            <w:tcW w:w="323" w:type="dxa"/>
            <w:tcBorders>
              <w:top w:val="single" w:sz="4" w:space="0" w:color="A6A6A6"/>
              <w:left w:val="nil"/>
              <w:bottom w:val="nil"/>
              <w:right w:val="single" w:sz="4" w:space="0" w:color="A6A6A6"/>
            </w:tcBorders>
            <w:shd w:val="clear" w:color="auto" w:fill="auto"/>
            <w:noWrap/>
            <w:vAlign w:val="center"/>
            <w:hideMark/>
          </w:tcPr>
          <w:p w14:paraId="217CB38B"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2</w:t>
            </w:r>
          </w:p>
        </w:tc>
        <w:tc>
          <w:tcPr>
            <w:tcW w:w="323" w:type="dxa"/>
            <w:tcBorders>
              <w:top w:val="single" w:sz="4" w:space="0" w:color="A6A6A6"/>
              <w:left w:val="nil"/>
              <w:bottom w:val="nil"/>
              <w:right w:val="single" w:sz="4" w:space="0" w:color="A6A6A6"/>
            </w:tcBorders>
            <w:shd w:val="clear" w:color="auto" w:fill="auto"/>
            <w:noWrap/>
            <w:vAlign w:val="center"/>
            <w:hideMark/>
          </w:tcPr>
          <w:p w14:paraId="48009A10"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3</w:t>
            </w:r>
          </w:p>
        </w:tc>
        <w:tc>
          <w:tcPr>
            <w:tcW w:w="323" w:type="dxa"/>
            <w:tcBorders>
              <w:top w:val="single" w:sz="4" w:space="0" w:color="A6A6A6"/>
              <w:left w:val="nil"/>
              <w:bottom w:val="nil"/>
              <w:right w:val="single" w:sz="4" w:space="0" w:color="A6A6A6"/>
            </w:tcBorders>
            <w:shd w:val="clear" w:color="auto" w:fill="auto"/>
            <w:noWrap/>
            <w:vAlign w:val="center"/>
            <w:hideMark/>
          </w:tcPr>
          <w:p w14:paraId="5A2324FD" w14:textId="77777777" w:rsidR="00CD30EB" w:rsidRPr="00CD30EB" w:rsidRDefault="00CD30EB" w:rsidP="00CD30EB">
            <w:pPr>
              <w:spacing w:line="240" w:lineRule="auto"/>
              <w:jc w:val="center"/>
              <w:rPr>
                <w:rFonts w:ascii="Calibri" w:eastAsia="Times New Roman" w:hAnsi="Calibri" w:cs="Times New Roman"/>
                <w:b/>
                <w:bCs/>
              </w:rPr>
            </w:pPr>
            <w:r w:rsidRPr="00CD30EB">
              <w:rPr>
                <w:rFonts w:ascii="Calibri" w:eastAsia="Times New Roman" w:hAnsi="Calibri" w:cs="Times New Roman"/>
                <w:b/>
                <w:bCs/>
              </w:rPr>
              <w:t>4</w:t>
            </w:r>
          </w:p>
        </w:tc>
      </w:tr>
      <w:tr w:rsidR="00CD30EB" w:rsidRPr="00CD30EB" w14:paraId="6E0BE9D8" w14:textId="77777777" w:rsidTr="00CD30EB">
        <w:trPr>
          <w:trHeight w:val="480"/>
        </w:trPr>
        <w:tc>
          <w:tcPr>
            <w:tcW w:w="1880" w:type="dxa"/>
            <w:tcBorders>
              <w:top w:val="single" w:sz="4" w:space="0" w:color="D9D9D9"/>
              <w:left w:val="single" w:sz="4" w:space="0" w:color="D9D9D9"/>
              <w:bottom w:val="single" w:sz="4" w:space="0" w:color="D9D9D9"/>
              <w:right w:val="single" w:sz="4" w:space="0" w:color="D9D9D9"/>
            </w:tcBorders>
            <w:shd w:val="clear" w:color="auto" w:fill="auto"/>
            <w:vAlign w:val="center"/>
            <w:hideMark/>
          </w:tcPr>
          <w:p w14:paraId="193BEC7A" w14:textId="77777777" w:rsidR="00CD30EB" w:rsidRPr="00CD30EB" w:rsidRDefault="00CD30EB" w:rsidP="00CD30EB">
            <w:pPr>
              <w:spacing w:line="240" w:lineRule="auto"/>
              <w:rPr>
                <w:rFonts w:ascii="Calibri" w:eastAsia="Times New Roman" w:hAnsi="Calibri" w:cs="Times New Roman"/>
                <w:b/>
                <w:bCs/>
                <w:sz w:val="18"/>
                <w:szCs w:val="18"/>
              </w:rPr>
            </w:pPr>
            <w:r w:rsidRPr="00CD30EB">
              <w:rPr>
                <w:rFonts w:ascii="Calibri" w:eastAsia="Times New Roman" w:hAnsi="Calibri" w:cs="Times New Roman"/>
                <w:b/>
                <w:bCs/>
                <w:sz w:val="18"/>
                <w:szCs w:val="18"/>
              </w:rPr>
              <w:t>Pulir antecedentes y Marco teórico</w:t>
            </w:r>
          </w:p>
        </w:tc>
        <w:tc>
          <w:tcPr>
            <w:tcW w:w="320" w:type="dxa"/>
            <w:tcBorders>
              <w:top w:val="single" w:sz="4" w:space="0" w:color="D9D9D9"/>
              <w:left w:val="nil"/>
              <w:bottom w:val="single" w:sz="4" w:space="0" w:color="D9D9D9"/>
              <w:right w:val="single" w:sz="4" w:space="0" w:color="D9D9D9"/>
            </w:tcBorders>
            <w:shd w:val="clear" w:color="auto" w:fill="auto"/>
            <w:noWrap/>
            <w:vAlign w:val="center"/>
            <w:hideMark/>
          </w:tcPr>
          <w:p w14:paraId="2AEBB99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single" w:sz="4" w:space="0" w:color="D9D9D9"/>
              <w:left w:val="nil"/>
              <w:bottom w:val="single" w:sz="4" w:space="0" w:color="D9D9D9"/>
              <w:right w:val="single" w:sz="4" w:space="0" w:color="D9D9D9"/>
            </w:tcBorders>
            <w:shd w:val="clear" w:color="auto" w:fill="auto"/>
            <w:noWrap/>
            <w:vAlign w:val="center"/>
            <w:hideMark/>
          </w:tcPr>
          <w:p w14:paraId="303BDBA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single" w:sz="4" w:space="0" w:color="D9D9D9"/>
              <w:left w:val="nil"/>
              <w:bottom w:val="single" w:sz="4" w:space="0" w:color="D9D9D9"/>
              <w:right w:val="single" w:sz="4" w:space="0" w:color="D9D9D9"/>
            </w:tcBorders>
            <w:shd w:val="clear" w:color="auto" w:fill="auto"/>
            <w:noWrap/>
            <w:vAlign w:val="center"/>
            <w:hideMark/>
          </w:tcPr>
          <w:p w14:paraId="0367656D"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single" w:sz="4" w:space="0" w:color="D9D9D9"/>
              <w:left w:val="nil"/>
              <w:bottom w:val="single" w:sz="4" w:space="0" w:color="D9D9D9"/>
              <w:right w:val="single" w:sz="4" w:space="0" w:color="D9D9D9"/>
            </w:tcBorders>
            <w:shd w:val="clear" w:color="auto" w:fill="auto"/>
            <w:noWrap/>
            <w:vAlign w:val="center"/>
            <w:hideMark/>
          </w:tcPr>
          <w:p w14:paraId="30AAB77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single" w:sz="4" w:space="0" w:color="D9D9D9"/>
              <w:left w:val="nil"/>
              <w:bottom w:val="single" w:sz="4" w:space="0" w:color="D9D9D9"/>
              <w:right w:val="single" w:sz="4" w:space="0" w:color="D9D9D9"/>
            </w:tcBorders>
            <w:shd w:val="clear" w:color="000000" w:fill="A6A6A6"/>
            <w:noWrap/>
            <w:vAlign w:val="center"/>
            <w:hideMark/>
          </w:tcPr>
          <w:p w14:paraId="204CA11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0" w:type="dxa"/>
            <w:tcBorders>
              <w:top w:val="single" w:sz="4" w:space="0" w:color="D9D9D9"/>
              <w:left w:val="nil"/>
              <w:bottom w:val="single" w:sz="4" w:space="0" w:color="D9D9D9"/>
              <w:right w:val="single" w:sz="4" w:space="0" w:color="D9D9D9"/>
            </w:tcBorders>
            <w:shd w:val="clear" w:color="000000" w:fill="A6A6A6"/>
            <w:noWrap/>
            <w:vAlign w:val="center"/>
            <w:hideMark/>
          </w:tcPr>
          <w:p w14:paraId="36CD329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0" w:type="dxa"/>
            <w:tcBorders>
              <w:top w:val="single" w:sz="4" w:space="0" w:color="D9D9D9"/>
              <w:left w:val="nil"/>
              <w:bottom w:val="single" w:sz="4" w:space="0" w:color="D9D9D9"/>
              <w:right w:val="single" w:sz="4" w:space="0" w:color="D9D9D9"/>
            </w:tcBorders>
            <w:shd w:val="clear" w:color="000000" w:fill="A6A6A6"/>
            <w:noWrap/>
            <w:vAlign w:val="center"/>
            <w:hideMark/>
          </w:tcPr>
          <w:p w14:paraId="791BBED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0" w:type="dxa"/>
            <w:tcBorders>
              <w:top w:val="single" w:sz="4" w:space="0" w:color="D9D9D9"/>
              <w:left w:val="nil"/>
              <w:bottom w:val="single" w:sz="4" w:space="0" w:color="D9D9D9"/>
              <w:right w:val="single" w:sz="4" w:space="0" w:color="D9D9D9"/>
            </w:tcBorders>
            <w:shd w:val="clear" w:color="000000" w:fill="A6A6A6"/>
            <w:noWrap/>
            <w:vAlign w:val="center"/>
            <w:hideMark/>
          </w:tcPr>
          <w:p w14:paraId="38766B4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single" w:sz="4" w:space="0" w:color="D9D9D9"/>
              <w:left w:val="nil"/>
              <w:bottom w:val="single" w:sz="4" w:space="0" w:color="D9D9D9"/>
              <w:right w:val="single" w:sz="4" w:space="0" w:color="D9D9D9"/>
            </w:tcBorders>
            <w:shd w:val="clear" w:color="000000" w:fill="A6A6A6"/>
            <w:noWrap/>
            <w:vAlign w:val="center"/>
            <w:hideMark/>
          </w:tcPr>
          <w:p w14:paraId="31FF06D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single" w:sz="4" w:space="0" w:color="D9D9D9"/>
              <w:left w:val="nil"/>
              <w:bottom w:val="single" w:sz="4" w:space="0" w:color="D9D9D9"/>
              <w:right w:val="single" w:sz="4" w:space="0" w:color="D9D9D9"/>
            </w:tcBorders>
            <w:shd w:val="clear" w:color="000000" w:fill="A6A6A6"/>
            <w:noWrap/>
            <w:vAlign w:val="center"/>
            <w:hideMark/>
          </w:tcPr>
          <w:p w14:paraId="1FB75EB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single" w:sz="4" w:space="0" w:color="D9D9D9"/>
              <w:left w:val="nil"/>
              <w:bottom w:val="single" w:sz="4" w:space="0" w:color="D9D9D9"/>
              <w:right w:val="single" w:sz="4" w:space="0" w:color="D9D9D9"/>
            </w:tcBorders>
            <w:shd w:val="clear" w:color="auto" w:fill="auto"/>
            <w:noWrap/>
            <w:vAlign w:val="center"/>
            <w:hideMark/>
          </w:tcPr>
          <w:p w14:paraId="58B8A9A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single" w:sz="4" w:space="0" w:color="D9D9D9"/>
              <w:left w:val="nil"/>
              <w:bottom w:val="single" w:sz="4" w:space="0" w:color="D9D9D9"/>
              <w:right w:val="single" w:sz="4" w:space="0" w:color="D9D9D9"/>
            </w:tcBorders>
            <w:shd w:val="clear" w:color="auto" w:fill="auto"/>
            <w:noWrap/>
            <w:vAlign w:val="center"/>
            <w:hideMark/>
          </w:tcPr>
          <w:p w14:paraId="3F51677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single" w:sz="4" w:space="0" w:color="D9D9D9"/>
              <w:left w:val="nil"/>
              <w:bottom w:val="single" w:sz="4" w:space="0" w:color="D9D9D9"/>
              <w:right w:val="single" w:sz="4" w:space="0" w:color="D9D9D9"/>
            </w:tcBorders>
            <w:shd w:val="clear" w:color="auto" w:fill="auto"/>
            <w:noWrap/>
            <w:vAlign w:val="center"/>
            <w:hideMark/>
          </w:tcPr>
          <w:p w14:paraId="30FA835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single" w:sz="4" w:space="0" w:color="D9D9D9"/>
              <w:left w:val="nil"/>
              <w:bottom w:val="single" w:sz="4" w:space="0" w:color="D9D9D9"/>
              <w:right w:val="single" w:sz="4" w:space="0" w:color="D9D9D9"/>
            </w:tcBorders>
            <w:shd w:val="clear" w:color="auto" w:fill="auto"/>
            <w:noWrap/>
            <w:vAlign w:val="center"/>
            <w:hideMark/>
          </w:tcPr>
          <w:p w14:paraId="158C7A6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single" w:sz="4" w:space="0" w:color="D9D9D9"/>
              <w:left w:val="nil"/>
              <w:bottom w:val="single" w:sz="4" w:space="0" w:color="D9D9D9"/>
              <w:right w:val="single" w:sz="4" w:space="0" w:color="D9D9D9"/>
            </w:tcBorders>
            <w:shd w:val="clear" w:color="auto" w:fill="auto"/>
            <w:noWrap/>
            <w:vAlign w:val="center"/>
            <w:hideMark/>
          </w:tcPr>
          <w:p w14:paraId="494112F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single" w:sz="4" w:space="0" w:color="D9D9D9"/>
              <w:left w:val="nil"/>
              <w:bottom w:val="single" w:sz="4" w:space="0" w:color="D9D9D9"/>
              <w:right w:val="single" w:sz="4" w:space="0" w:color="D9D9D9"/>
            </w:tcBorders>
            <w:shd w:val="clear" w:color="auto" w:fill="auto"/>
            <w:noWrap/>
            <w:vAlign w:val="center"/>
            <w:hideMark/>
          </w:tcPr>
          <w:p w14:paraId="608275F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single" w:sz="4" w:space="0" w:color="D9D9D9"/>
              <w:left w:val="nil"/>
              <w:bottom w:val="single" w:sz="4" w:space="0" w:color="D9D9D9"/>
              <w:right w:val="single" w:sz="4" w:space="0" w:color="D9D9D9"/>
            </w:tcBorders>
            <w:shd w:val="clear" w:color="auto" w:fill="auto"/>
            <w:noWrap/>
            <w:vAlign w:val="center"/>
            <w:hideMark/>
          </w:tcPr>
          <w:p w14:paraId="07F52AF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single" w:sz="4" w:space="0" w:color="D9D9D9"/>
              <w:left w:val="nil"/>
              <w:bottom w:val="single" w:sz="4" w:space="0" w:color="D9D9D9"/>
              <w:right w:val="single" w:sz="4" w:space="0" w:color="D9D9D9"/>
            </w:tcBorders>
            <w:shd w:val="clear" w:color="auto" w:fill="auto"/>
            <w:noWrap/>
            <w:vAlign w:val="center"/>
            <w:hideMark/>
          </w:tcPr>
          <w:p w14:paraId="637E77E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05CAFD3D"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5761CD9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5E19488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0AFFB2F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0E8089D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7435B39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4B3836B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469822F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5582035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77C727D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2E50AAB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67B2041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33550AB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single" w:sz="4" w:space="0" w:color="D9D9D9"/>
              <w:left w:val="nil"/>
              <w:bottom w:val="single" w:sz="4" w:space="0" w:color="D9D9D9"/>
              <w:right w:val="single" w:sz="4" w:space="0" w:color="D9D9D9"/>
            </w:tcBorders>
            <w:shd w:val="clear" w:color="auto" w:fill="auto"/>
            <w:noWrap/>
            <w:vAlign w:val="center"/>
            <w:hideMark/>
          </w:tcPr>
          <w:p w14:paraId="6088756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r>
      <w:tr w:rsidR="00CD30EB" w:rsidRPr="00CD30EB" w14:paraId="227786B2" w14:textId="77777777" w:rsidTr="00CD30EB">
        <w:trPr>
          <w:trHeight w:val="960"/>
        </w:trPr>
        <w:tc>
          <w:tcPr>
            <w:tcW w:w="1880" w:type="dxa"/>
            <w:tcBorders>
              <w:top w:val="nil"/>
              <w:left w:val="single" w:sz="4" w:space="0" w:color="D9D9D9"/>
              <w:bottom w:val="single" w:sz="4" w:space="0" w:color="D9D9D9"/>
              <w:right w:val="single" w:sz="4" w:space="0" w:color="D9D9D9"/>
            </w:tcBorders>
            <w:shd w:val="clear" w:color="auto" w:fill="auto"/>
            <w:vAlign w:val="center"/>
            <w:hideMark/>
          </w:tcPr>
          <w:p w14:paraId="5A16FAFA" w14:textId="77777777" w:rsidR="00CD30EB" w:rsidRPr="00CD30EB" w:rsidRDefault="00CD30EB" w:rsidP="00CD30EB">
            <w:pPr>
              <w:spacing w:line="240" w:lineRule="auto"/>
              <w:rPr>
                <w:rFonts w:ascii="Calibri" w:eastAsia="Times New Roman" w:hAnsi="Calibri" w:cs="Times New Roman"/>
                <w:b/>
                <w:bCs/>
                <w:sz w:val="18"/>
                <w:szCs w:val="18"/>
              </w:rPr>
            </w:pPr>
            <w:r w:rsidRPr="00CD30EB">
              <w:rPr>
                <w:rFonts w:ascii="Calibri" w:eastAsia="Times New Roman" w:hAnsi="Calibri" w:cs="Times New Roman"/>
                <w:b/>
                <w:bCs/>
                <w:sz w:val="18"/>
                <w:szCs w:val="18"/>
              </w:rPr>
              <w:t>Revisión base de datos financieros y presupuestarios de las comunas</w:t>
            </w:r>
          </w:p>
        </w:tc>
        <w:tc>
          <w:tcPr>
            <w:tcW w:w="320" w:type="dxa"/>
            <w:tcBorders>
              <w:top w:val="nil"/>
              <w:left w:val="nil"/>
              <w:bottom w:val="single" w:sz="4" w:space="0" w:color="D9D9D9"/>
              <w:right w:val="single" w:sz="4" w:space="0" w:color="D9D9D9"/>
            </w:tcBorders>
            <w:shd w:val="clear" w:color="auto" w:fill="auto"/>
            <w:noWrap/>
            <w:vAlign w:val="center"/>
            <w:hideMark/>
          </w:tcPr>
          <w:p w14:paraId="3EA73E3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310B4F7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19F4C05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5D833B8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000000" w:fill="A6A6A6"/>
            <w:noWrap/>
            <w:vAlign w:val="center"/>
            <w:hideMark/>
          </w:tcPr>
          <w:p w14:paraId="0E8F317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0" w:type="dxa"/>
            <w:tcBorders>
              <w:top w:val="nil"/>
              <w:left w:val="nil"/>
              <w:bottom w:val="single" w:sz="4" w:space="0" w:color="D9D9D9"/>
              <w:right w:val="single" w:sz="4" w:space="0" w:color="D9D9D9"/>
            </w:tcBorders>
            <w:shd w:val="clear" w:color="000000" w:fill="A6A6A6"/>
            <w:noWrap/>
            <w:vAlign w:val="center"/>
            <w:hideMark/>
          </w:tcPr>
          <w:p w14:paraId="2669550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0" w:type="dxa"/>
            <w:tcBorders>
              <w:top w:val="nil"/>
              <w:left w:val="nil"/>
              <w:bottom w:val="single" w:sz="4" w:space="0" w:color="D9D9D9"/>
              <w:right w:val="single" w:sz="4" w:space="0" w:color="D9D9D9"/>
            </w:tcBorders>
            <w:shd w:val="clear" w:color="000000" w:fill="A6A6A6"/>
            <w:noWrap/>
            <w:vAlign w:val="center"/>
            <w:hideMark/>
          </w:tcPr>
          <w:p w14:paraId="31EFF39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0" w:type="dxa"/>
            <w:tcBorders>
              <w:top w:val="nil"/>
              <w:left w:val="nil"/>
              <w:bottom w:val="single" w:sz="4" w:space="0" w:color="D9D9D9"/>
              <w:right w:val="single" w:sz="4" w:space="0" w:color="D9D9D9"/>
            </w:tcBorders>
            <w:shd w:val="clear" w:color="000000" w:fill="A6A6A6"/>
            <w:noWrap/>
            <w:vAlign w:val="center"/>
            <w:hideMark/>
          </w:tcPr>
          <w:p w14:paraId="5D60BFF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nil"/>
              <w:left w:val="nil"/>
              <w:bottom w:val="single" w:sz="4" w:space="0" w:color="D9D9D9"/>
              <w:right w:val="single" w:sz="4" w:space="0" w:color="D9D9D9"/>
            </w:tcBorders>
            <w:shd w:val="clear" w:color="000000" w:fill="A6A6A6"/>
            <w:noWrap/>
            <w:vAlign w:val="center"/>
            <w:hideMark/>
          </w:tcPr>
          <w:p w14:paraId="63B17E4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nil"/>
              <w:left w:val="nil"/>
              <w:bottom w:val="single" w:sz="4" w:space="0" w:color="D9D9D9"/>
              <w:right w:val="single" w:sz="4" w:space="0" w:color="D9D9D9"/>
            </w:tcBorders>
            <w:shd w:val="clear" w:color="auto" w:fill="auto"/>
            <w:noWrap/>
            <w:vAlign w:val="center"/>
            <w:hideMark/>
          </w:tcPr>
          <w:p w14:paraId="2B47882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723EDF6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710DB58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5F9FBF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52434F2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7B4055A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E2289E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E1189E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41E56B0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947667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332162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387CD5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BDDB59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38CF93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3240864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06BEB1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727C6D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4C05454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13FC72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6C70D0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D4B05A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223D92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44E7F5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r>
      <w:tr w:rsidR="00CD30EB" w:rsidRPr="00CD30EB" w14:paraId="4CA93C28" w14:textId="77777777" w:rsidTr="00CD30EB">
        <w:trPr>
          <w:trHeight w:val="300"/>
        </w:trPr>
        <w:tc>
          <w:tcPr>
            <w:tcW w:w="1880" w:type="dxa"/>
            <w:tcBorders>
              <w:top w:val="nil"/>
              <w:left w:val="single" w:sz="4" w:space="0" w:color="D9D9D9"/>
              <w:bottom w:val="single" w:sz="4" w:space="0" w:color="D9D9D9"/>
              <w:right w:val="single" w:sz="4" w:space="0" w:color="D9D9D9"/>
            </w:tcBorders>
            <w:shd w:val="clear" w:color="auto" w:fill="auto"/>
            <w:vAlign w:val="center"/>
            <w:hideMark/>
          </w:tcPr>
          <w:p w14:paraId="5E771196" w14:textId="77777777" w:rsidR="00CD30EB" w:rsidRPr="00CD30EB" w:rsidRDefault="00CD30EB" w:rsidP="00CD30EB">
            <w:pPr>
              <w:spacing w:line="240" w:lineRule="auto"/>
              <w:rPr>
                <w:rFonts w:ascii="Calibri" w:eastAsia="Times New Roman" w:hAnsi="Calibri" w:cs="Times New Roman"/>
                <w:b/>
                <w:bCs/>
                <w:sz w:val="18"/>
                <w:szCs w:val="18"/>
              </w:rPr>
            </w:pPr>
            <w:r w:rsidRPr="00CD30EB">
              <w:rPr>
                <w:rFonts w:ascii="Calibri" w:eastAsia="Times New Roman" w:hAnsi="Calibri" w:cs="Times New Roman"/>
                <w:b/>
                <w:bCs/>
                <w:sz w:val="18"/>
                <w:szCs w:val="18"/>
              </w:rPr>
              <w:t>Vacaciones</w:t>
            </w:r>
          </w:p>
        </w:tc>
        <w:tc>
          <w:tcPr>
            <w:tcW w:w="320" w:type="dxa"/>
            <w:tcBorders>
              <w:top w:val="nil"/>
              <w:left w:val="nil"/>
              <w:bottom w:val="single" w:sz="4" w:space="0" w:color="D9D9D9"/>
              <w:right w:val="single" w:sz="4" w:space="0" w:color="D9D9D9"/>
            </w:tcBorders>
            <w:shd w:val="clear" w:color="auto" w:fill="auto"/>
            <w:noWrap/>
            <w:vAlign w:val="center"/>
            <w:hideMark/>
          </w:tcPr>
          <w:p w14:paraId="18EA86C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7842421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20EF0BA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0D9E093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02D441C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23EC04A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307B253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7F50198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EEF583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7F18BEB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000000" w:fill="A6A6A6"/>
            <w:noWrap/>
            <w:vAlign w:val="center"/>
            <w:hideMark/>
          </w:tcPr>
          <w:p w14:paraId="7358CF1D"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nil"/>
              <w:left w:val="nil"/>
              <w:bottom w:val="single" w:sz="4" w:space="0" w:color="D9D9D9"/>
              <w:right w:val="single" w:sz="4" w:space="0" w:color="D9D9D9"/>
            </w:tcBorders>
            <w:shd w:val="clear" w:color="000000" w:fill="A6A6A6"/>
            <w:noWrap/>
            <w:vAlign w:val="center"/>
            <w:hideMark/>
          </w:tcPr>
          <w:p w14:paraId="310E6F9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nil"/>
              <w:left w:val="nil"/>
              <w:bottom w:val="single" w:sz="4" w:space="0" w:color="D9D9D9"/>
              <w:right w:val="single" w:sz="4" w:space="0" w:color="D9D9D9"/>
            </w:tcBorders>
            <w:shd w:val="clear" w:color="000000" w:fill="A6A6A6"/>
            <w:noWrap/>
            <w:vAlign w:val="center"/>
            <w:hideMark/>
          </w:tcPr>
          <w:p w14:paraId="11DAD40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nil"/>
              <w:left w:val="nil"/>
              <w:bottom w:val="single" w:sz="4" w:space="0" w:color="D9D9D9"/>
              <w:right w:val="single" w:sz="4" w:space="0" w:color="D9D9D9"/>
            </w:tcBorders>
            <w:shd w:val="clear" w:color="auto" w:fill="auto"/>
            <w:noWrap/>
            <w:vAlign w:val="center"/>
            <w:hideMark/>
          </w:tcPr>
          <w:p w14:paraId="1305264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47993BF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5C9D6C7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1E56B18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7EE5468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3CCFBBF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86B474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69B3AE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C2E7E6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EB4769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C36164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202A8F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B19FF7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F69BD4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68E8F2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615AC0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8751D2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FEC12C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E98F2D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r>
      <w:tr w:rsidR="00CD30EB" w:rsidRPr="00CD30EB" w14:paraId="14066547" w14:textId="77777777" w:rsidTr="00CD30EB">
        <w:trPr>
          <w:trHeight w:val="480"/>
        </w:trPr>
        <w:tc>
          <w:tcPr>
            <w:tcW w:w="1880" w:type="dxa"/>
            <w:tcBorders>
              <w:top w:val="nil"/>
              <w:left w:val="single" w:sz="4" w:space="0" w:color="D9D9D9"/>
              <w:bottom w:val="single" w:sz="4" w:space="0" w:color="D9D9D9"/>
              <w:right w:val="single" w:sz="4" w:space="0" w:color="D9D9D9"/>
            </w:tcBorders>
            <w:shd w:val="clear" w:color="auto" w:fill="auto"/>
            <w:vAlign w:val="center"/>
            <w:hideMark/>
          </w:tcPr>
          <w:p w14:paraId="1375B5C2" w14:textId="77777777" w:rsidR="00CD30EB" w:rsidRPr="00CD30EB" w:rsidRDefault="00CD30EB" w:rsidP="00CD30EB">
            <w:pPr>
              <w:spacing w:line="240" w:lineRule="auto"/>
              <w:rPr>
                <w:rFonts w:ascii="Calibri" w:eastAsia="Times New Roman" w:hAnsi="Calibri" w:cs="Times New Roman"/>
                <w:b/>
                <w:bCs/>
                <w:sz w:val="18"/>
                <w:szCs w:val="18"/>
              </w:rPr>
            </w:pPr>
            <w:r w:rsidRPr="00CD30EB">
              <w:rPr>
                <w:rFonts w:ascii="Calibri" w:eastAsia="Times New Roman" w:hAnsi="Calibri" w:cs="Times New Roman"/>
                <w:b/>
                <w:bCs/>
                <w:sz w:val="18"/>
                <w:szCs w:val="18"/>
              </w:rPr>
              <w:t>Pulir metodología para trabajar los datos</w:t>
            </w:r>
          </w:p>
        </w:tc>
        <w:tc>
          <w:tcPr>
            <w:tcW w:w="320" w:type="dxa"/>
            <w:tcBorders>
              <w:top w:val="nil"/>
              <w:left w:val="nil"/>
              <w:bottom w:val="single" w:sz="4" w:space="0" w:color="D9D9D9"/>
              <w:right w:val="single" w:sz="4" w:space="0" w:color="D9D9D9"/>
            </w:tcBorders>
            <w:shd w:val="clear" w:color="auto" w:fill="auto"/>
            <w:noWrap/>
            <w:vAlign w:val="center"/>
            <w:hideMark/>
          </w:tcPr>
          <w:p w14:paraId="25CA842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653DB51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0B59588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7DA4E6D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3A39874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4C06698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2D0A701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047B610D"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C46EDC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181C3AF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E0EE98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D20B02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000000" w:fill="A6A6A6"/>
            <w:noWrap/>
            <w:vAlign w:val="center"/>
            <w:hideMark/>
          </w:tcPr>
          <w:p w14:paraId="1A13EF5E" w14:textId="77777777" w:rsidR="00CD30EB" w:rsidRPr="00CD30EB" w:rsidRDefault="00CD30EB" w:rsidP="00CD30EB">
            <w:pPr>
              <w:spacing w:line="240" w:lineRule="auto"/>
              <w:rPr>
                <w:rFonts w:ascii="Calibri" w:eastAsia="Times New Roman" w:hAnsi="Calibri" w:cs="Times New Roman"/>
              </w:rPr>
            </w:pPr>
          </w:p>
        </w:tc>
        <w:tc>
          <w:tcPr>
            <w:tcW w:w="316" w:type="dxa"/>
            <w:tcBorders>
              <w:top w:val="nil"/>
              <w:left w:val="nil"/>
              <w:bottom w:val="single" w:sz="4" w:space="0" w:color="D9D9D9"/>
              <w:right w:val="single" w:sz="4" w:space="0" w:color="D9D9D9"/>
            </w:tcBorders>
            <w:shd w:val="clear" w:color="000000" w:fill="A6A6A6"/>
            <w:noWrap/>
            <w:vAlign w:val="center"/>
            <w:hideMark/>
          </w:tcPr>
          <w:p w14:paraId="09D2990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nil"/>
              <w:left w:val="nil"/>
              <w:bottom w:val="single" w:sz="4" w:space="0" w:color="D9D9D9"/>
              <w:right w:val="single" w:sz="4" w:space="0" w:color="D9D9D9"/>
            </w:tcBorders>
            <w:shd w:val="clear" w:color="000000" w:fill="A6A6A6"/>
            <w:noWrap/>
            <w:vAlign w:val="center"/>
            <w:hideMark/>
          </w:tcPr>
          <w:p w14:paraId="6F457E0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nil"/>
              <w:left w:val="nil"/>
              <w:bottom w:val="single" w:sz="4" w:space="0" w:color="D9D9D9"/>
              <w:right w:val="single" w:sz="4" w:space="0" w:color="D9D9D9"/>
            </w:tcBorders>
            <w:shd w:val="clear" w:color="auto" w:fill="auto"/>
            <w:noWrap/>
            <w:vAlign w:val="center"/>
            <w:hideMark/>
          </w:tcPr>
          <w:p w14:paraId="57FFCBB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B38411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8250B7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036538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F2E9CA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A3CD19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A4171A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BB2382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F20651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38D2FD0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142791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3E2C6F5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49B89D2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4A7273C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23D08E7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2F6E1D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244206A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r>
      <w:tr w:rsidR="00CD30EB" w:rsidRPr="00CD30EB" w14:paraId="08152600" w14:textId="77777777" w:rsidTr="00CD30EB">
        <w:trPr>
          <w:trHeight w:val="1200"/>
        </w:trPr>
        <w:tc>
          <w:tcPr>
            <w:tcW w:w="1880" w:type="dxa"/>
            <w:tcBorders>
              <w:top w:val="nil"/>
              <w:left w:val="single" w:sz="4" w:space="0" w:color="D9D9D9"/>
              <w:bottom w:val="single" w:sz="4" w:space="0" w:color="D9D9D9"/>
              <w:right w:val="single" w:sz="4" w:space="0" w:color="D9D9D9"/>
            </w:tcBorders>
            <w:shd w:val="clear" w:color="auto" w:fill="auto"/>
            <w:vAlign w:val="center"/>
            <w:hideMark/>
          </w:tcPr>
          <w:p w14:paraId="54680D23" w14:textId="77777777" w:rsidR="00CD30EB" w:rsidRPr="00CD30EB" w:rsidRDefault="00CD30EB" w:rsidP="00CD30EB">
            <w:pPr>
              <w:spacing w:line="240" w:lineRule="auto"/>
              <w:rPr>
                <w:rFonts w:ascii="Calibri" w:eastAsia="Times New Roman" w:hAnsi="Calibri" w:cs="Times New Roman"/>
                <w:b/>
                <w:bCs/>
                <w:sz w:val="18"/>
                <w:szCs w:val="18"/>
              </w:rPr>
            </w:pPr>
            <w:r w:rsidRPr="00CD30EB">
              <w:rPr>
                <w:rFonts w:ascii="Calibri" w:eastAsia="Times New Roman" w:hAnsi="Calibri" w:cs="Times New Roman"/>
                <w:b/>
                <w:bCs/>
                <w:sz w:val="18"/>
                <w:szCs w:val="18"/>
              </w:rPr>
              <w:t>Calcular las estimaciones de acuerdo a lo planteado en la metodología a trabajar</w:t>
            </w:r>
          </w:p>
        </w:tc>
        <w:tc>
          <w:tcPr>
            <w:tcW w:w="320" w:type="dxa"/>
            <w:tcBorders>
              <w:top w:val="nil"/>
              <w:left w:val="nil"/>
              <w:bottom w:val="single" w:sz="4" w:space="0" w:color="D9D9D9"/>
              <w:right w:val="single" w:sz="4" w:space="0" w:color="D9D9D9"/>
            </w:tcBorders>
            <w:shd w:val="clear" w:color="auto" w:fill="auto"/>
            <w:noWrap/>
            <w:vAlign w:val="center"/>
            <w:hideMark/>
          </w:tcPr>
          <w:p w14:paraId="36CCE85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6DF9DEF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25EAAA2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368D811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6D9E25A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67181AE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22CD5E5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3BA93FE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705EE1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98AD7E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E893E3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4225800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3AD6C8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1F2944A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D3C34D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000000" w:fill="A6A6A6"/>
            <w:noWrap/>
            <w:vAlign w:val="center"/>
            <w:hideMark/>
          </w:tcPr>
          <w:p w14:paraId="59C47C2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nil"/>
              <w:left w:val="nil"/>
              <w:bottom w:val="single" w:sz="4" w:space="0" w:color="D9D9D9"/>
              <w:right w:val="single" w:sz="4" w:space="0" w:color="D9D9D9"/>
            </w:tcBorders>
            <w:shd w:val="clear" w:color="000000" w:fill="A6A6A6"/>
            <w:noWrap/>
            <w:vAlign w:val="center"/>
            <w:hideMark/>
          </w:tcPr>
          <w:p w14:paraId="61DB4EF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16" w:type="dxa"/>
            <w:tcBorders>
              <w:top w:val="nil"/>
              <w:left w:val="nil"/>
              <w:bottom w:val="single" w:sz="4" w:space="0" w:color="D9D9D9"/>
              <w:right w:val="single" w:sz="4" w:space="0" w:color="D9D9D9"/>
            </w:tcBorders>
            <w:shd w:val="clear" w:color="000000" w:fill="A6A6A6"/>
            <w:noWrap/>
            <w:vAlign w:val="center"/>
            <w:hideMark/>
          </w:tcPr>
          <w:p w14:paraId="3571240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auto" w:fill="auto"/>
            <w:noWrap/>
            <w:vAlign w:val="center"/>
            <w:hideMark/>
          </w:tcPr>
          <w:p w14:paraId="5081347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7C7352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04E737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CB1018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D93D18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ADA5FE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269E8A7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2B32FE2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E4DE35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D18002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4CCBFB0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4869B0A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9ABD01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F5AC3C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r>
      <w:tr w:rsidR="00CD30EB" w:rsidRPr="00CD30EB" w14:paraId="2DE36B0F" w14:textId="77777777" w:rsidTr="00CD30EB">
        <w:trPr>
          <w:trHeight w:val="450"/>
        </w:trPr>
        <w:tc>
          <w:tcPr>
            <w:tcW w:w="1880" w:type="dxa"/>
            <w:tcBorders>
              <w:top w:val="nil"/>
              <w:left w:val="single" w:sz="4" w:space="0" w:color="D9D9D9"/>
              <w:bottom w:val="single" w:sz="4" w:space="0" w:color="D9D9D9"/>
              <w:right w:val="single" w:sz="4" w:space="0" w:color="D9D9D9"/>
            </w:tcBorders>
            <w:shd w:val="clear" w:color="auto" w:fill="auto"/>
            <w:vAlign w:val="center"/>
            <w:hideMark/>
          </w:tcPr>
          <w:p w14:paraId="2E5F81C7" w14:textId="77777777" w:rsidR="00CD30EB" w:rsidRPr="00CD30EB" w:rsidRDefault="00CD30EB" w:rsidP="00CD30EB">
            <w:pPr>
              <w:spacing w:line="240" w:lineRule="auto"/>
              <w:rPr>
                <w:rFonts w:ascii="Calibri" w:eastAsia="Times New Roman" w:hAnsi="Calibri" w:cs="Times New Roman"/>
                <w:b/>
                <w:bCs/>
                <w:sz w:val="18"/>
                <w:szCs w:val="18"/>
              </w:rPr>
            </w:pPr>
            <w:r w:rsidRPr="00CD30EB">
              <w:rPr>
                <w:rFonts w:ascii="Calibri" w:eastAsia="Times New Roman" w:hAnsi="Calibri" w:cs="Times New Roman"/>
                <w:b/>
                <w:bCs/>
                <w:sz w:val="18"/>
                <w:szCs w:val="18"/>
              </w:rPr>
              <w:t>Nueva revisión de marco metodológico</w:t>
            </w:r>
          </w:p>
        </w:tc>
        <w:tc>
          <w:tcPr>
            <w:tcW w:w="320" w:type="dxa"/>
            <w:tcBorders>
              <w:top w:val="nil"/>
              <w:left w:val="nil"/>
              <w:bottom w:val="single" w:sz="4" w:space="0" w:color="D9D9D9"/>
              <w:right w:val="single" w:sz="4" w:space="0" w:color="D9D9D9"/>
            </w:tcBorders>
            <w:shd w:val="clear" w:color="auto" w:fill="auto"/>
            <w:noWrap/>
            <w:vAlign w:val="center"/>
            <w:hideMark/>
          </w:tcPr>
          <w:p w14:paraId="2102767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7687EF3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57F153C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602876C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0B61769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350ECDC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13F9261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5837B95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CCE2F2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CF397E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8173D5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5E98932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1E51747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5EDCF6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7F3A518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7B574B5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5EF3110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2DE0A56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000000" w:fill="A6A6A6"/>
            <w:noWrap/>
            <w:vAlign w:val="center"/>
            <w:hideMark/>
          </w:tcPr>
          <w:p w14:paraId="1E35A62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0B32E75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auto" w:fill="auto"/>
            <w:noWrap/>
            <w:vAlign w:val="center"/>
            <w:hideMark/>
          </w:tcPr>
          <w:p w14:paraId="3AE142D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ECE8E0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52B341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579AA3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784271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3DBB9A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4F6D120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26598DC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49FFE9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8F648F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3B59CD0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F1A455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r>
      <w:tr w:rsidR="00CD30EB" w:rsidRPr="00CD30EB" w14:paraId="4820D40A" w14:textId="77777777" w:rsidTr="00CD30EB">
        <w:trPr>
          <w:trHeight w:val="480"/>
        </w:trPr>
        <w:tc>
          <w:tcPr>
            <w:tcW w:w="1880" w:type="dxa"/>
            <w:tcBorders>
              <w:top w:val="nil"/>
              <w:left w:val="single" w:sz="4" w:space="0" w:color="D9D9D9"/>
              <w:bottom w:val="single" w:sz="4" w:space="0" w:color="D9D9D9"/>
              <w:right w:val="single" w:sz="4" w:space="0" w:color="D9D9D9"/>
            </w:tcBorders>
            <w:shd w:val="clear" w:color="auto" w:fill="auto"/>
            <w:vAlign w:val="center"/>
            <w:hideMark/>
          </w:tcPr>
          <w:p w14:paraId="088EDE84" w14:textId="77777777" w:rsidR="00CD30EB" w:rsidRPr="00CD30EB" w:rsidRDefault="00CD30EB" w:rsidP="00CD30EB">
            <w:pPr>
              <w:spacing w:line="240" w:lineRule="auto"/>
              <w:rPr>
                <w:rFonts w:ascii="Calibri" w:eastAsia="Times New Roman" w:hAnsi="Calibri" w:cs="Times New Roman"/>
                <w:b/>
                <w:bCs/>
                <w:sz w:val="18"/>
                <w:szCs w:val="18"/>
              </w:rPr>
            </w:pPr>
            <w:r w:rsidRPr="00CD30EB">
              <w:rPr>
                <w:rFonts w:ascii="Calibri" w:eastAsia="Times New Roman" w:hAnsi="Calibri" w:cs="Times New Roman"/>
                <w:b/>
                <w:bCs/>
                <w:sz w:val="18"/>
                <w:szCs w:val="18"/>
              </w:rPr>
              <w:t>Cálculos revisado y terminados</w:t>
            </w:r>
          </w:p>
        </w:tc>
        <w:tc>
          <w:tcPr>
            <w:tcW w:w="320" w:type="dxa"/>
            <w:tcBorders>
              <w:top w:val="nil"/>
              <w:left w:val="nil"/>
              <w:bottom w:val="single" w:sz="4" w:space="0" w:color="D9D9D9"/>
              <w:right w:val="single" w:sz="4" w:space="0" w:color="D9D9D9"/>
            </w:tcBorders>
            <w:shd w:val="clear" w:color="auto" w:fill="auto"/>
            <w:noWrap/>
            <w:vAlign w:val="center"/>
            <w:hideMark/>
          </w:tcPr>
          <w:p w14:paraId="6BFB2D0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1DFBD69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61641F5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5914420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7936AB9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4161828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54D9DB7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44C4932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444E513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B8E126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464E37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D7640B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C9D7E1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10FA97B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789A0D4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48FC74E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181D6B3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BA686F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E94090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02BD30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000000" w:fill="A6A6A6"/>
            <w:noWrap/>
            <w:vAlign w:val="center"/>
            <w:hideMark/>
          </w:tcPr>
          <w:p w14:paraId="7C4A5EF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4C2A443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0C887A4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6AC6DBE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auto" w:fill="auto"/>
            <w:noWrap/>
            <w:vAlign w:val="center"/>
            <w:hideMark/>
          </w:tcPr>
          <w:p w14:paraId="69EE903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01F9ED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81C960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BB4B68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3ECA55E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34EF72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376C8AC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5A13E40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r>
      <w:tr w:rsidR="00CD30EB" w:rsidRPr="00CD30EB" w14:paraId="23ED99E2" w14:textId="77777777" w:rsidTr="00CD30EB">
        <w:trPr>
          <w:trHeight w:val="720"/>
        </w:trPr>
        <w:tc>
          <w:tcPr>
            <w:tcW w:w="1880" w:type="dxa"/>
            <w:tcBorders>
              <w:top w:val="nil"/>
              <w:left w:val="single" w:sz="4" w:space="0" w:color="D9D9D9"/>
              <w:bottom w:val="single" w:sz="4" w:space="0" w:color="D9D9D9"/>
              <w:right w:val="single" w:sz="4" w:space="0" w:color="D9D9D9"/>
            </w:tcBorders>
            <w:shd w:val="clear" w:color="auto" w:fill="auto"/>
            <w:vAlign w:val="center"/>
            <w:hideMark/>
          </w:tcPr>
          <w:p w14:paraId="2E734D24" w14:textId="77777777" w:rsidR="00CD30EB" w:rsidRPr="00CD30EB" w:rsidRDefault="00CD30EB" w:rsidP="00CD30EB">
            <w:pPr>
              <w:spacing w:line="240" w:lineRule="auto"/>
              <w:rPr>
                <w:rFonts w:ascii="Calibri" w:eastAsia="Times New Roman" w:hAnsi="Calibri" w:cs="Times New Roman"/>
                <w:b/>
                <w:bCs/>
                <w:sz w:val="18"/>
                <w:szCs w:val="18"/>
              </w:rPr>
            </w:pPr>
            <w:r w:rsidRPr="00CD30EB">
              <w:rPr>
                <w:rFonts w:ascii="Calibri" w:eastAsia="Times New Roman" w:hAnsi="Calibri" w:cs="Times New Roman"/>
                <w:b/>
                <w:bCs/>
                <w:sz w:val="18"/>
                <w:szCs w:val="18"/>
              </w:rPr>
              <w:t>Análisis y recomendaciones terminado</w:t>
            </w:r>
          </w:p>
        </w:tc>
        <w:tc>
          <w:tcPr>
            <w:tcW w:w="320" w:type="dxa"/>
            <w:tcBorders>
              <w:top w:val="nil"/>
              <w:left w:val="nil"/>
              <w:bottom w:val="single" w:sz="4" w:space="0" w:color="D9D9D9"/>
              <w:right w:val="single" w:sz="4" w:space="0" w:color="D9D9D9"/>
            </w:tcBorders>
            <w:shd w:val="clear" w:color="auto" w:fill="auto"/>
            <w:noWrap/>
            <w:vAlign w:val="center"/>
            <w:hideMark/>
          </w:tcPr>
          <w:p w14:paraId="186318D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2CBC19B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47334AC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15C7E70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30F7606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1D3AD76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7565EE1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626BF59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2B9B13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8CF910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1DFA6B9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2AFD66D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565F967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2C1CCBF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7CAAAE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50B8C1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070AAB0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F4FB60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0073B3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078169B"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A081FE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24BDF5A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2686F6B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22B4AB6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000000" w:fill="A6A6A6"/>
            <w:noWrap/>
            <w:vAlign w:val="center"/>
            <w:hideMark/>
          </w:tcPr>
          <w:p w14:paraId="0820096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5015616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5F45791D"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07443431"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auto" w:fill="auto"/>
            <w:noWrap/>
            <w:vAlign w:val="center"/>
            <w:hideMark/>
          </w:tcPr>
          <w:p w14:paraId="5E92E96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4512128D"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15E932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43FF02D"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r>
      <w:tr w:rsidR="00CD30EB" w:rsidRPr="00CD30EB" w14:paraId="0DD29B5B" w14:textId="77777777" w:rsidTr="00CD30EB">
        <w:trPr>
          <w:trHeight w:val="720"/>
        </w:trPr>
        <w:tc>
          <w:tcPr>
            <w:tcW w:w="1880" w:type="dxa"/>
            <w:tcBorders>
              <w:top w:val="nil"/>
              <w:left w:val="single" w:sz="4" w:space="0" w:color="D9D9D9"/>
              <w:bottom w:val="single" w:sz="4" w:space="0" w:color="D9D9D9"/>
              <w:right w:val="single" w:sz="4" w:space="0" w:color="D9D9D9"/>
            </w:tcBorders>
            <w:shd w:val="clear" w:color="auto" w:fill="auto"/>
            <w:vAlign w:val="center"/>
            <w:hideMark/>
          </w:tcPr>
          <w:p w14:paraId="6D353B08" w14:textId="77777777" w:rsidR="00CD30EB" w:rsidRPr="00CD30EB" w:rsidRDefault="00CD30EB" w:rsidP="00CD30EB">
            <w:pPr>
              <w:spacing w:line="240" w:lineRule="auto"/>
              <w:rPr>
                <w:rFonts w:ascii="Calibri" w:eastAsia="Times New Roman" w:hAnsi="Calibri" w:cs="Times New Roman"/>
                <w:b/>
                <w:bCs/>
                <w:sz w:val="18"/>
                <w:szCs w:val="18"/>
              </w:rPr>
            </w:pPr>
            <w:r w:rsidRPr="00CD30EB">
              <w:rPr>
                <w:rFonts w:ascii="Calibri" w:eastAsia="Times New Roman" w:hAnsi="Calibri" w:cs="Times New Roman"/>
                <w:b/>
                <w:bCs/>
                <w:sz w:val="18"/>
                <w:szCs w:val="18"/>
              </w:rPr>
              <w:t>Ajustes finales y revisión final (Borrador final)</w:t>
            </w:r>
          </w:p>
        </w:tc>
        <w:tc>
          <w:tcPr>
            <w:tcW w:w="320" w:type="dxa"/>
            <w:tcBorders>
              <w:top w:val="nil"/>
              <w:left w:val="nil"/>
              <w:bottom w:val="single" w:sz="4" w:space="0" w:color="D9D9D9"/>
              <w:right w:val="single" w:sz="4" w:space="0" w:color="D9D9D9"/>
            </w:tcBorders>
            <w:shd w:val="clear" w:color="auto" w:fill="auto"/>
            <w:noWrap/>
            <w:vAlign w:val="center"/>
            <w:hideMark/>
          </w:tcPr>
          <w:p w14:paraId="2E268A2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178E074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3EBB03B8"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278A6F2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04D705A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4801CE3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0851AE7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0" w:type="dxa"/>
            <w:tcBorders>
              <w:top w:val="nil"/>
              <w:left w:val="nil"/>
              <w:bottom w:val="single" w:sz="4" w:space="0" w:color="D9D9D9"/>
              <w:right w:val="single" w:sz="4" w:space="0" w:color="D9D9D9"/>
            </w:tcBorders>
            <w:shd w:val="clear" w:color="auto" w:fill="auto"/>
            <w:noWrap/>
            <w:vAlign w:val="center"/>
            <w:hideMark/>
          </w:tcPr>
          <w:p w14:paraId="409EB67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23CAC5A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50D6A0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5EA8E6D4"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10AC48E2"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C74AEDD"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636526E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3A935FB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42CBAE7F"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1AF20EC3"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16" w:type="dxa"/>
            <w:tcBorders>
              <w:top w:val="nil"/>
              <w:left w:val="nil"/>
              <w:bottom w:val="single" w:sz="4" w:space="0" w:color="D9D9D9"/>
              <w:right w:val="single" w:sz="4" w:space="0" w:color="D9D9D9"/>
            </w:tcBorders>
            <w:shd w:val="clear" w:color="auto" w:fill="auto"/>
            <w:noWrap/>
            <w:vAlign w:val="center"/>
            <w:hideMark/>
          </w:tcPr>
          <w:p w14:paraId="532D136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34E119E"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5067A8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4497FD6A"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15E1B0F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E4EA4F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A1B31CD"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00528DC5"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7A1581A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261AC6C6"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auto" w:fill="auto"/>
            <w:noWrap/>
            <w:vAlign w:val="center"/>
            <w:hideMark/>
          </w:tcPr>
          <w:p w14:paraId="6C484E27"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 </w:t>
            </w:r>
          </w:p>
        </w:tc>
        <w:tc>
          <w:tcPr>
            <w:tcW w:w="323" w:type="dxa"/>
            <w:tcBorders>
              <w:top w:val="nil"/>
              <w:left w:val="nil"/>
              <w:bottom w:val="single" w:sz="4" w:space="0" w:color="D9D9D9"/>
              <w:right w:val="single" w:sz="4" w:space="0" w:color="D9D9D9"/>
            </w:tcBorders>
            <w:shd w:val="clear" w:color="000000" w:fill="A6A6A6"/>
            <w:noWrap/>
            <w:vAlign w:val="center"/>
            <w:hideMark/>
          </w:tcPr>
          <w:p w14:paraId="2CEB1F2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53173E70"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3DC320A9"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c>
          <w:tcPr>
            <w:tcW w:w="323" w:type="dxa"/>
            <w:tcBorders>
              <w:top w:val="nil"/>
              <w:left w:val="nil"/>
              <w:bottom w:val="single" w:sz="4" w:space="0" w:color="D9D9D9"/>
              <w:right w:val="single" w:sz="4" w:space="0" w:color="D9D9D9"/>
            </w:tcBorders>
            <w:shd w:val="clear" w:color="000000" w:fill="A6A6A6"/>
            <w:noWrap/>
            <w:vAlign w:val="center"/>
            <w:hideMark/>
          </w:tcPr>
          <w:p w14:paraId="01C8C24C" w14:textId="77777777" w:rsidR="00CD30EB" w:rsidRPr="00CD30EB" w:rsidRDefault="00CD30EB" w:rsidP="00CD30EB">
            <w:pPr>
              <w:spacing w:line="240" w:lineRule="auto"/>
              <w:rPr>
                <w:rFonts w:ascii="Calibri" w:eastAsia="Times New Roman" w:hAnsi="Calibri" w:cs="Times New Roman"/>
              </w:rPr>
            </w:pPr>
            <w:r w:rsidRPr="00CD30EB">
              <w:rPr>
                <w:rFonts w:ascii="Calibri" w:eastAsia="Times New Roman" w:hAnsi="Calibri" w:cs="Times New Roman"/>
              </w:rPr>
              <w:t>X</w:t>
            </w:r>
          </w:p>
        </w:tc>
      </w:tr>
    </w:tbl>
    <w:p w14:paraId="639E98F2" w14:textId="77777777" w:rsidR="00CD30EB" w:rsidRDefault="00CD30EB" w:rsidP="00FC148A"/>
    <w:p w14:paraId="565E772C" w14:textId="77777777" w:rsidR="00CD30EB" w:rsidRDefault="00CD30EB" w:rsidP="00FC148A">
      <w:pPr>
        <w:rPr>
          <w:rFonts w:asciiTheme="minorHAnsi" w:eastAsiaTheme="minorHAnsi" w:hAnsiTheme="minorHAnsi" w:cstheme="minorBidi"/>
          <w:color w:val="auto"/>
          <w:lang w:eastAsia="en-US"/>
        </w:rPr>
      </w:pPr>
      <w:r>
        <w:fldChar w:fldCharType="begin"/>
      </w:r>
      <w:r>
        <w:instrText xml:space="preserve"> LINK Excel.Sheet.12 "Libro1" "Hoja1!F5C4:F17C36" \a \f 4 \h </w:instrText>
      </w:r>
      <w:r>
        <w:fldChar w:fldCharType="separate"/>
      </w:r>
    </w:p>
    <w:p w14:paraId="010EA51C" w14:textId="77777777" w:rsidR="00CD30EB" w:rsidRDefault="00CD30EB" w:rsidP="00FC148A">
      <w:r>
        <w:fldChar w:fldCharType="end"/>
      </w:r>
    </w:p>
    <w:p w14:paraId="29E0D9A5" w14:textId="77777777" w:rsidR="00CD30EB" w:rsidRDefault="00CD30EB" w:rsidP="00FC148A"/>
    <w:p w14:paraId="320A6ACE" w14:textId="77777777" w:rsidR="00CD30EB" w:rsidRDefault="00CD30EB" w:rsidP="00FC148A"/>
    <w:p w14:paraId="54B03A56" w14:textId="77777777" w:rsidR="00CD30EB" w:rsidRDefault="00CD30EB" w:rsidP="00FC148A"/>
    <w:p w14:paraId="07BAE11B" w14:textId="77777777" w:rsidR="00CD30EB" w:rsidRDefault="00CD30EB" w:rsidP="00FC148A"/>
    <w:p w14:paraId="275A7B2A" w14:textId="77777777" w:rsidR="00CD30EB" w:rsidRDefault="00CD30EB" w:rsidP="00FC148A"/>
    <w:p w14:paraId="5533B021" w14:textId="77777777" w:rsidR="00CD30EB" w:rsidRDefault="00CD30EB" w:rsidP="00FC148A"/>
    <w:p w14:paraId="3AF8D2D5" w14:textId="77777777" w:rsidR="00CD30EB" w:rsidRDefault="00CD30EB" w:rsidP="00FC148A"/>
    <w:p w14:paraId="76BCFDFB" w14:textId="77777777" w:rsidR="00CD30EB" w:rsidRDefault="00CD30EB" w:rsidP="00FC148A"/>
    <w:p w14:paraId="4B6886C3" w14:textId="77777777" w:rsidR="00CD30EB" w:rsidRDefault="00CD30EB" w:rsidP="00FC148A"/>
    <w:p w14:paraId="0406B4FE" w14:textId="77777777" w:rsidR="00CD30EB" w:rsidRDefault="00CD30EB" w:rsidP="00FC148A"/>
    <w:p w14:paraId="105A3910" w14:textId="77777777" w:rsidR="00CD30EB" w:rsidRDefault="00CD30EB" w:rsidP="00FC148A"/>
    <w:p w14:paraId="704BC48C" w14:textId="77777777" w:rsidR="00CD30EB" w:rsidRDefault="00CD30EB" w:rsidP="00FC148A"/>
    <w:p w14:paraId="25C00F5E" w14:textId="77777777" w:rsidR="00CD30EB" w:rsidRDefault="00CD30EB" w:rsidP="00FC148A"/>
    <w:p w14:paraId="541A6130" w14:textId="77777777" w:rsidR="00CD30EB" w:rsidRDefault="00CD30EB" w:rsidP="00FC148A"/>
    <w:p w14:paraId="130F58B0" w14:textId="77777777" w:rsidR="00CD30EB" w:rsidRDefault="00CD30EB" w:rsidP="00FC148A"/>
    <w:p w14:paraId="4ECA2124" w14:textId="77777777" w:rsidR="009041FC" w:rsidRPr="00810F85" w:rsidRDefault="009041FC" w:rsidP="0052143A">
      <w:pPr>
        <w:pStyle w:val="Ttulo1"/>
        <w:numPr>
          <w:ilvl w:val="0"/>
          <w:numId w:val="1"/>
        </w:numPr>
        <w:rPr>
          <w:rFonts w:ascii="Arial" w:hAnsi="Arial" w:cs="Arial"/>
          <w:color w:val="auto"/>
          <w:sz w:val="22"/>
          <w:szCs w:val="22"/>
        </w:rPr>
      </w:pPr>
      <w:bookmarkStart w:id="13" w:name="_Toc530596789"/>
      <w:r w:rsidRPr="00810F85">
        <w:rPr>
          <w:rFonts w:ascii="Arial" w:hAnsi="Arial" w:cs="Arial"/>
          <w:color w:val="auto"/>
          <w:sz w:val="22"/>
          <w:szCs w:val="22"/>
        </w:rPr>
        <w:lastRenderedPageBreak/>
        <w:t>REFERENCIAS BIBLIOGRÁFICAS</w:t>
      </w:r>
      <w:bookmarkEnd w:id="13"/>
    </w:p>
    <w:p w14:paraId="3B664DAD" w14:textId="77777777" w:rsidR="009041FC" w:rsidRPr="00810F85" w:rsidRDefault="009041FC" w:rsidP="009041FC"/>
    <w:sdt>
      <w:sdtPr>
        <w:rPr>
          <w:rFonts w:ascii="Arial" w:eastAsia="Arial" w:hAnsi="Arial" w:cs="Arial"/>
          <w:b w:val="0"/>
          <w:bCs w:val="0"/>
          <w:color w:val="000000"/>
          <w:sz w:val="22"/>
          <w:szCs w:val="22"/>
          <w:lang w:val="es-ES"/>
        </w:rPr>
        <w:id w:val="731662681"/>
        <w:docPartObj>
          <w:docPartGallery w:val="Bibliographies"/>
          <w:docPartUnique/>
        </w:docPartObj>
      </w:sdtPr>
      <w:sdtEndPr>
        <w:rPr>
          <w:lang w:val="es-CL"/>
        </w:rPr>
      </w:sdtEndPr>
      <w:sdtContent>
        <w:p w14:paraId="5EBEB964" w14:textId="77777777" w:rsidR="00810F85" w:rsidRPr="00810F85" w:rsidRDefault="00810F85" w:rsidP="00810F85">
          <w:pPr>
            <w:pStyle w:val="Ttulo1"/>
            <w:rPr>
              <w:rFonts w:ascii="Arial" w:hAnsi="Arial" w:cs="Arial"/>
              <w:sz w:val="22"/>
              <w:szCs w:val="22"/>
            </w:rPr>
          </w:pPr>
          <w:r w:rsidRPr="00810F85">
            <w:rPr>
              <w:rFonts w:ascii="Arial" w:hAnsi="Arial" w:cs="Arial"/>
              <w:sz w:val="22"/>
              <w:szCs w:val="22"/>
              <w:lang w:val="es-ES"/>
            </w:rPr>
            <w:t>Bibliografía</w:t>
          </w:r>
        </w:p>
        <w:sdt>
          <w:sdtPr>
            <w:id w:val="111145805"/>
            <w:bibliography/>
          </w:sdtPr>
          <w:sdtEndPr/>
          <w:sdtContent>
            <w:p w14:paraId="55DB1F79" w14:textId="77777777" w:rsidR="00810F85" w:rsidRPr="00810F85" w:rsidRDefault="00810F85" w:rsidP="00BB546F">
              <w:pPr>
                <w:pStyle w:val="Bibliografa"/>
                <w:ind w:left="720" w:hanging="720"/>
                <w:jc w:val="both"/>
                <w:rPr>
                  <w:noProof/>
                  <w:lang w:val="es-ES"/>
                </w:rPr>
              </w:pPr>
              <w:r w:rsidRPr="00810F85">
                <w:fldChar w:fldCharType="begin"/>
              </w:r>
              <w:r w:rsidRPr="00810F85">
                <w:instrText>BIBLIOGRAPHY</w:instrText>
              </w:r>
              <w:r w:rsidRPr="00810F85">
                <w:fldChar w:fldCharType="separate"/>
              </w:r>
              <w:r w:rsidRPr="00810F85">
                <w:rPr>
                  <w:noProof/>
                  <w:lang w:val="es-ES"/>
                </w:rPr>
                <w:t xml:space="preserve">Bravo, Javiera. (junio de 2014). Fondo Comun Municipal y su desincentivo a la recaudacion en Chile. </w:t>
              </w:r>
              <w:r w:rsidRPr="00810F85">
                <w:rPr>
                  <w:i/>
                  <w:iCs/>
                  <w:noProof/>
                  <w:lang w:val="es-ES"/>
                </w:rPr>
                <w:t>Centro de politicas Universidad Catolica de Chile, 9</w:t>
              </w:r>
              <w:r w:rsidRPr="00810F85">
                <w:rPr>
                  <w:noProof/>
                  <w:lang w:val="es-ES"/>
                </w:rPr>
                <w:t>(68), 5-18. Recuperado el 20 de noviembre de 2018, de https://politicaspublicas.uc.cl/wp-content/uploads/2015/02/fondo-comun-municipal-y-su-desincentivo-a-la-recaudacion-en-chile.pdf</w:t>
              </w:r>
            </w:p>
            <w:p w14:paraId="52533F3F" w14:textId="77777777" w:rsidR="00810F85" w:rsidRPr="00810F85" w:rsidRDefault="00810F85" w:rsidP="00810F85">
              <w:pPr>
                <w:rPr>
                  <w:lang w:val="es-ES"/>
                </w:rPr>
              </w:pPr>
            </w:p>
            <w:p w14:paraId="5EAE2901" w14:textId="77777777" w:rsidR="00810F85" w:rsidRPr="00810F85" w:rsidRDefault="00810F85" w:rsidP="00BB546F">
              <w:pPr>
                <w:pStyle w:val="Bibliografa"/>
                <w:ind w:left="720" w:hanging="720"/>
                <w:jc w:val="both"/>
                <w:rPr>
                  <w:noProof/>
                  <w:lang w:val="es-ES"/>
                </w:rPr>
              </w:pPr>
              <w:r w:rsidRPr="00810F85">
                <w:rPr>
                  <w:noProof/>
                  <w:lang w:val="es-ES"/>
                </w:rPr>
                <w:t xml:space="preserve">Diaz, M. H., &amp; Aguirre, J. F. (septiembre de 2011). Compnesando la Desigualdad de ingresos Locales: El Fondo Comun Municipal (FCM) en Chile. </w:t>
              </w:r>
              <w:r w:rsidRPr="00810F85">
                <w:rPr>
                  <w:i/>
                  <w:iCs/>
                  <w:noProof/>
                  <w:lang w:val="es-ES"/>
                </w:rPr>
                <w:t>Revista Iberoamericana de Estudios Municipales, II</w:t>
              </w:r>
              <w:r w:rsidRPr="00810F85">
                <w:rPr>
                  <w:noProof/>
                  <w:lang w:val="es-ES"/>
                </w:rPr>
                <w:t xml:space="preserve">(4), 73-104. Recuperado el 20 de noviembre de 2018, de http://www.sistemaspublicos.cl/wp-content/uploads/2017/08/Compensando-la-desigualdad-de-ingresos-locales.-El-Fondo-Com%C3%BAn-Municipal-FCM-en-Chile.pdf </w:t>
              </w:r>
            </w:p>
            <w:p w14:paraId="5A67F263" w14:textId="77777777" w:rsidR="00810F85" w:rsidRPr="00810F85" w:rsidRDefault="00810F85" w:rsidP="00810F85">
              <w:pPr>
                <w:rPr>
                  <w:lang w:val="es-ES"/>
                </w:rPr>
              </w:pPr>
              <w:bookmarkStart w:id="14" w:name="_GoBack"/>
              <w:bookmarkEnd w:id="14"/>
            </w:p>
            <w:p w14:paraId="60CAB6CD" w14:textId="77777777" w:rsidR="00810F85" w:rsidRPr="00810F85" w:rsidRDefault="00810F85" w:rsidP="00810F85">
              <w:pPr>
                <w:pStyle w:val="Bibliografa"/>
                <w:ind w:left="720" w:hanging="720"/>
                <w:rPr>
                  <w:noProof/>
                  <w:lang w:val="es-ES"/>
                </w:rPr>
              </w:pPr>
              <w:r w:rsidRPr="00810F85">
                <w:rPr>
                  <w:noProof/>
                  <w:lang w:val="es-ES"/>
                </w:rPr>
                <w:t>division de municipalidades, departamento de finanzas municipales. (2018). guia de busqueda de informacion. Obtenido de http://www.sinim.gov.cl/archivos/home/576/Guia_Busqueda_Informacion_SINIM_(version4.1.2018).pdf</w:t>
              </w:r>
            </w:p>
            <w:p w14:paraId="5BD3B375" w14:textId="77777777" w:rsidR="00810F85" w:rsidRPr="00810F85" w:rsidRDefault="00810F85" w:rsidP="00810F85">
              <w:pPr>
                <w:rPr>
                  <w:lang w:val="es-ES"/>
                </w:rPr>
              </w:pPr>
            </w:p>
            <w:p w14:paraId="6398794D" w14:textId="77777777" w:rsidR="00810F85" w:rsidRPr="00810F85" w:rsidRDefault="00810F85" w:rsidP="00810F85">
              <w:pPr>
                <w:pStyle w:val="Bibliografa"/>
                <w:ind w:left="720" w:hanging="720"/>
                <w:rPr>
                  <w:noProof/>
                  <w:lang w:val="es-ES"/>
                </w:rPr>
              </w:pPr>
              <w:r w:rsidRPr="00810F85">
                <w:rPr>
                  <w:noProof/>
                  <w:lang w:val="es-ES"/>
                </w:rPr>
                <w:t xml:space="preserve">LEY Nº 18.695, O. C. (s.f.). </w:t>
              </w:r>
              <w:r w:rsidRPr="00810F85">
                <w:rPr>
                  <w:i/>
                  <w:iCs/>
                  <w:noProof/>
                  <w:lang w:val="es-ES"/>
                </w:rPr>
                <w:t>Biblioteca Del Congreso Nacional</w:t>
              </w:r>
              <w:r w:rsidRPr="00810F85">
                <w:rPr>
                  <w:noProof/>
                  <w:lang w:val="es-ES"/>
                </w:rPr>
                <w:t>. Recuperado el 20 de noviembre de 2018, de http://bcn.cl/1uuy1</w:t>
              </w:r>
            </w:p>
            <w:p w14:paraId="6B726B18" w14:textId="77777777" w:rsidR="00810F85" w:rsidRPr="00810F85" w:rsidRDefault="00810F85" w:rsidP="00810F85">
              <w:pPr>
                <w:rPr>
                  <w:lang w:val="es-ES"/>
                </w:rPr>
              </w:pPr>
            </w:p>
            <w:p w14:paraId="1F8355AE" w14:textId="77777777" w:rsidR="00810F85" w:rsidRPr="00810F85" w:rsidRDefault="00810F85" w:rsidP="00810F85">
              <w:pPr>
                <w:pStyle w:val="Bibliografa"/>
                <w:ind w:left="720" w:hanging="720"/>
                <w:rPr>
                  <w:noProof/>
                  <w:lang w:val="es-ES"/>
                </w:rPr>
              </w:pPr>
              <w:r w:rsidRPr="00810F85">
                <w:rPr>
                  <w:noProof/>
                  <w:lang w:val="es-ES"/>
                </w:rPr>
                <w:t>OECD. (2017). Making Decentralisation Work in Chile: Towards Stronger Municipalities, OECD Multi-level.</w:t>
              </w:r>
            </w:p>
            <w:p w14:paraId="0C7AC5A9" w14:textId="77777777" w:rsidR="00810F85" w:rsidRPr="00810F85" w:rsidRDefault="00810F85" w:rsidP="00810F85">
              <w:pPr>
                <w:rPr>
                  <w:lang w:val="es-ES"/>
                </w:rPr>
              </w:pPr>
            </w:p>
            <w:p w14:paraId="5CFDA8E1" w14:textId="77777777" w:rsidR="00810F85" w:rsidRPr="00810F85" w:rsidRDefault="00810F85" w:rsidP="00810F85">
              <w:pPr>
                <w:pStyle w:val="Bibliografa"/>
                <w:ind w:left="720" w:hanging="720"/>
                <w:rPr>
                  <w:noProof/>
                  <w:lang w:val="es-ES"/>
                </w:rPr>
              </w:pPr>
              <w:r w:rsidRPr="00810F85">
                <w:rPr>
                  <w:noProof/>
                  <w:lang w:val="es-ES"/>
                </w:rPr>
                <w:t>Pacheco, F., Sánchez, R., &amp; Villena, M. (marzo de 2013). Eficiencia de los Gobiernos Locales y sus Determinantes: Un análisis de Fronteras Estocásticas en Datos de Panel para Municipalidades Chilenas. (P. d. Hacienda, Ed.) Recuperado el 20 de noviembre de 2018, de www.dipres.cl</w:t>
              </w:r>
            </w:p>
            <w:p w14:paraId="0A449A55" w14:textId="77777777" w:rsidR="00810F85" w:rsidRPr="00810F85" w:rsidRDefault="00810F85" w:rsidP="00810F85">
              <w:pPr>
                <w:rPr>
                  <w:lang w:val="es-ES"/>
                </w:rPr>
              </w:pPr>
            </w:p>
            <w:p w14:paraId="04E15326" w14:textId="77777777" w:rsidR="00810F85" w:rsidRPr="00810F85" w:rsidRDefault="00810F85" w:rsidP="00810F85">
              <w:pPr>
                <w:pStyle w:val="Bibliografa"/>
                <w:ind w:left="720" w:hanging="720"/>
                <w:rPr>
                  <w:noProof/>
                  <w:lang w:val="es-ES"/>
                </w:rPr>
              </w:pPr>
              <w:r w:rsidRPr="00810F85">
                <w:rPr>
                  <w:noProof/>
                  <w:lang w:val="es-ES"/>
                </w:rPr>
                <w:t xml:space="preserve">Perez, M. (Noviembre de 2016). Analisis de los municipios Chilenos: Ingresos por gestion versus transferencias del Fondo Comun Municipal. </w:t>
              </w:r>
              <w:r w:rsidRPr="00810F85">
                <w:rPr>
                  <w:i/>
                  <w:iCs/>
                  <w:noProof/>
                  <w:lang w:val="es-ES"/>
                </w:rPr>
                <w:t>Revista Estudios de Politicas Publicas, 4</w:t>
              </w:r>
              <w:r w:rsidRPr="00810F85">
                <w:rPr>
                  <w:noProof/>
                  <w:lang w:val="es-ES"/>
                </w:rPr>
                <w:t>, 121-130. Recuperado el 20 de noviembre de 2018, de http://dx.doi.org/10.5354/0719-6296.2016.44264</w:t>
              </w:r>
            </w:p>
            <w:p w14:paraId="533F88FC" w14:textId="77777777" w:rsidR="00810F85" w:rsidRPr="00810F85" w:rsidRDefault="00810F85" w:rsidP="00810F85">
              <w:pPr>
                <w:rPr>
                  <w:lang w:val="es-ES"/>
                </w:rPr>
              </w:pPr>
            </w:p>
            <w:p w14:paraId="4776FD85" w14:textId="77777777" w:rsidR="00810F85" w:rsidRPr="00810F85" w:rsidRDefault="00810F85" w:rsidP="00810F85">
              <w:pPr>
                <w:pStyle w:val="Bibliografa"/>
                <w:ind w:left="720" w:hanging="720"/>
                <w:rPr>
                  <w:noProof/>
                  <w:lang w:val="es-ES"/>
                </w:rPr>
              </w:pPr>
              <w:r w:rsidRPr="00810F85">
                <w:rPr>
                  <w:noProof/>
                  <w:lang w:val="es-ES"/>
                </w:rPr>
                <w:t xml:space="preserve">Universidad de Chile. (2011). </w:t>
              </w:r>
              <w:r w:rsidRPr="00810F85">
                <w:rPr>
                  <w:i/>
                  <w:iCs/>
                  <w:noProof/>
                  <w:lang w:val="es-ES"/>
                </w:rPr>
                <w:t>Diagnóstico y recomendaciones de rediseño del Fondo Común Municipal.</w:t>
              </w:r>
              <w:r w:rsidRPr="00810F85">
                <w:rPr>
                  <w:noProof/>
                  <w:lang w:val="es-ES"/>
                </w:rPr>
                <w:t xml:space="preserve"> Santiago: CENTRO DE SISTEMA PÚBLICOS, DEPARTAMENTO INGENIERÍA INDUSTRIAL, FACULTAD DE CIENCIAS FÍSICAS Y MATEMÁTICAS,.</w:t>
              </w:r>
            </w:p>
            <w:p w14:paraId="3AE8A637" w14:textId="77777777" w:rsidR="00810F85" w:rsidRPr="00810F85" w:rsidRDefault="00810F85" w:rsidP="00810F85">
              <w:pPr>
                <w:contextualSpacing/>
              </w:pPr>
              <w:r w:rsidRPr="00810F85">
                <w:rPr>
                  <w:b/>
                  <w:bCs/>
                </w:rPr>
                <w:fldChar w:fldCharType="end"/>
              </w:r>
            </w:p>
          </w:sdtContent>
        </w:sdt>
      </w:sdtContent>
    </w:sdt>
    <w:p w14:paraId="0A3D7017" w14:textId="77777777" w:rsidR="009041FC" w:rsidRPr="00810F85" w:rsidRDefault="009041FC" w:rsidP="009041FC"/>
    <w:sectPr w:rsidR="009041FC" w:rsidRPr="00810F85" w:rsidSect="00DF7ECB">
      <w:footerReference w:type="default" r:id="rId9"/>
      <w:pgSz w:w="12240" w:h="15840"/>
      <w:pgMar w:top="1417" w:right="1701"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1CD25" w14:textId="77777777" w:rsidR="00E47704" w:rsidRDefault="00E47704" w:rsidP="00FE537C">
      <w:pPr>
        <w:spacing w:line="240" w:lineRule="auto"/>
      </w:pPr>
      <w:r>
        <w:separator/>
      </w:r>
    </w:p>
  </w:endnote>
  <w:endnote w:type="continuationSeparator" w:id="0">
    <w:p w14:paraId="2B506A1F" w14:textId="77777777" w:rsidR="00E47704" w:rsidRDefault="00E47704" w:rsidP="00FE53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inherit">
    <w:altName w:val="Calibri"/>
    <w:charset w:val="00"/>
    <w:family w:val="auto"/>
    <w:pitch w:val="default"/>
  </w:font>
  <w:font w:name="Courier New">
    <w:panose1 w:val="02070309020205020404"/>
    <w:charset w:val="00"/>
    <w:family w:val="auto"/>
    <w:pitch w:val="variable"/>
    <w:sig w:usb0="E0002AFF" w:usb1="C0007843" w:usb2="00000009" w:usb3="00000000" w:csb0="000001FF" w:csb1="00000000"/>
  </w:font>
  <w:font w:name="Noto Sans Symbols">
    <w:charset w:val="00"/>
    <w:family w:val="auto"/>
    <w:pitch w:val="default"/>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Georgia">
    <w:panose1 w:val="02040502050405020303"/>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673847"/>
      <w:docPartObj>
        <w:docPartGallery w:val="Page Numbers (Bottom of Page)"/>
        <w:docPartUnique/>
      </w:docPartObj>
    </w:sdtPr>
    <w:sdtEndPr/>
    <w:sdtContent>
      <w:p w14:paraId="2750D3F0" w14:textId="77777777" w:rsidR="00CD30EB" w:rsidRDefault="00CD30EB">
        <w:pPr>
          <w:pStyle w:val="Piedepgina"/>
          <w:jc w:val="right"/>
        </w:pPr>
        <w:r>
          <w:fldChar w:fldCharType="begin"/>
        </w:r>
        <w:r>
          <w:instrText>PAGE   \* MERGEFORMAT</w:instrText>
        </w:r>
        <w:r>
          <w:fldChar w:fldCharType="separate"/>
        </w:r>
        <w:r w:rsidR="00BB546F" w:rsidRPr="00BB546F">
          <w:rPr>
            <w:noProof/>
            <w:lang w:val="es-ES"/>
          </w:rPr>
          <w:t>16</w:t>
        </w:r>
        <w:r>
          <w:fldChar w:fldCharType="end"/>
        </w:r>
      </w:p>
    </w:sdtContent>
  </w:sdt>
  <w:p w14:paraId="62DF5868" w14:textId="77777777" w:rsidR="00CD30EB" w:rsidRDefault="00CD30EB">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71B8A1" w14:textId="77777777" w:rsidR="00E47704" w:rsidRDefault="00E47704" w:rsidP="00FE537C">
      <w:pPr>
        <w:spacing w:line="240" w:lineRule="auto"/>
      </w:pPr>
      <w:r>
        <w:separator/>
      </w:r>
    </w:p>
  </w:footnote>
  <w:footnote w:type="continuationSeparator" w:id="0">
    <w:p w14:paraId="706FCD16" w14:textId="77777777" w:rsidR="00E47704" w:rsidRDefault="00E47704" w:rsidP="00FE537C">
      <w:pPr>
        <w:spacing w:line="240" w:lineRule="auto"/>
      </w:pPr>
      <w:r>
        <w:continuationSeparator/>
      </w:r>
    </w:p>
  </w:footnote>
  <w:footnote w:id="1">
    <w:p w14:paraId="2C48D62C" w14:textId="77777777" w:rsidR="00CD30EB" w:rsidRDefault="00CD30EB" w:rsidP="00636B3A">
      <w:pPr>
        <w:spacing w:line="240" w:lineRule="auto"/>
        <w:jc w:val="both"/>
        <w:rPr>
          <w:rFonts w:ascii="Calibri" w:eastAsia="Calibri" w:hAnsi="Calibri" w:cs="Calibri"/>
          <w:sz w:val="24"/>
          <w:szCs w:val="24"/>
        </w:rPr>
      </w:pPr>
      <w:r>
        <w:rPr>
          <w:vertAlign w:val="superscript"/>
        </w:rPr>
        <w:footnoteRef/>
      </w:r>
      <w:r>
        <w:rPr>
          <w:rFonts w:ascii="Calibri" w:eastAsia="Calibri" w:hAnsi="Calibri" w:cs="Calibri"/>
          <w:sz w:val="20"/>
          <w:szCs w:val="20"/>
        </w:rPr>
        <w:t xml:space="preserve"> Los impuestos, derechos regionales especiales y tarifas cobradas y distribuidas por agencias del gobierno central como las patentes mineras y la Ley de Casino de Juegos, los que se destinan a la región en que se encuentren. </w:t>
      </w:r>
      <w:r>
        <w:rPr>
          <w:rFonts w:ascii="Calibri" w:eastAsia="Calibri" w:hAnsi="Calibri" w:cs="Calibri"/>
          <w:color w:val="212121"/>
          <w:sz w:val="20"/>
          <w:szCs w:val="20"/>
        </w:rPr>
        <w:t>Además del 65% de los ingresos de la venta de propiedades físicas públicas va al presupuesto del gobierno regional en el que se encuentra la propiedad.</w:t>
      </w:r>
    </w:p>
  </w:footnote>
  <w:footnote w:id="2">
    <w:p w14:paraId="014D17B3" w14:textId="77777777" w:rsidR="00CD30EB" w:rsidRPr="00E50D6E" w:rsidRDefault="00CD30EB" w:rsidP="00284FA2">
      <w:pPr>
        <w:jc w:val="both"/>
        <w:rPr>
          <w:sz w:val="20"/>
          <w:szCs w:val="20"/>
        </w:rPr>
      </w:pPr>
      <w:r>
        <w:rPr>
          <w:rStyle w:val="Refdenotaalpie"/>
        </w:rPr>
        <w:footnoteRef/>
      </w:r>
      <w:r>
        <w:t xml:space="preserve"> </w:t>
      </w:r>
      <w:r w:rsidRPr="00E50D6E">
        <w:rPr>
          <w:sz w:val="20"/>
          <w:szCs w:val="20"/>
        </w:rPr>
        <w:t>De acuerdo con la Ley 18.695, Orgánica Constitucional de Municipalidades, Artículo 14.</w:t>
      </w:r>
    </w:p>
    <w:p w14:paraId="0592ECF9" w14:textId="77777777" w:rsidR="00CD30EB" w:rsidRPr="00E50D6E" w:rsidRDefault="00CD30EB" w:rsidP="00284FA2">
      <w:pPr>
        <w:pStyle w:val="Textonotapie"/>
      </w:pPr>
    </w:p>
  </w:footnote>
  <w:footnote w:id="3">
    <w:p w14:paraId="7099AFBF" w14:textId="77777777" w:rsidR="00CD30EB" w:rsidRPr="00E50D6E" w:rsidRDefault="00CD30EB" w:rsidP="00284FA2">
      <w:pPr>
        <w:pStyle w:val="Textonotapie"/>
      </w:pPr>
      <w:r w:rsidRPr="00E50D6E">
        <w:rPr>
          <w:rStyle w:val="Refdenotaalpie"/>
        </w:rPr>
        <w:footnoteRef/>
      </w:r>
      <w:r w:rsidRPr="00E50D6E">
        <w:t xml:space="preserve"> </w:t>
      </w:r>
      <w:r w:rsidRPr="00E50D6E">
        <w:t>El IPP corresponde a la suma del impuesto territorial de beneficio municipal, las patentes municipales de beneficios municipal directo, los permisos de circulación de vehículos de beneficio municipal, los derechos de aseo, los derechos varios, las rentas de inversiones, y las multas e intereses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3420"/>
    <w:multiLevelType w:val="multilevel"/>
    <w:tmpl w:val="EC88E6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23E010A"/>
    <w:multiLevelType w:val="multilevel"/>
    <w:tmpl w:val="2CBE01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D271DBA"/>
    <w:multiLevelType w:val="multilevel"/>
    <w:tmpl w:val="2F0C6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1C17B4D"/>
    <w:multiLevelType w:val="multilevel"/>
    <w:tmpl w:val="F754E43A"/>
    <w:lvl w:ilvl="0">
      <w:start w:val="1"/>
      <w:numFmt w:val="decimal"/>
      <w:lvlText w:val="%1."/>
      <w:lvlJc w:val="left"/>
      <w:pPr>
        <w:ind w:left="720" w:hanging="360"/>
      </w:pPr>
      <w:rPr>
        <w:rFonts w:ascii="inherit" w:eastAsia="inherit" w:hAnsi="inherit" w:cs="inheri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492F517F"/>
    <w:multiLevelType w:val="multilevel"/>
    <w:tmpl w:val="2CBE01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53150688"/>
    <w:multiLevelType w:val="multilevel"/>
    <w:tmpl w:val="8D4C2D8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nsid w:val="60D22493"/>
    <w:multiLevelType w:val="multilevel"/>
    <w:tmpl w:val="9E08208A"/>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F920B30"/>
    <w:multiLevelType w:val="multilevel"/>
    <w:tmpl w:val="B0C279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7F9F462B"/>
    <w:multiLevelType w:val="multilevel"/>
    <w:tmpl w:val="6602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6"/>
  </w:num>
  <w:num w:numId="4">
    <w:abstractNumId w:val="2"/>
  </w:num>
  <w:num w:numId="5">
    <w:abstractNumId w:val="4"/>
  </w:num>
  <w:num w:numId="6">
    <w:abstractNumId w:val="5"/>
  </w:num>
  <w:num w:numId="7">
    <w:abstractNumId w:val="7"/>
  </w:num>
  <w:num w:numId="8">
    <w:abstractNumId w:val="0"/>
  </w:num>
  <w:num w:numId="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C4C"/>
    <w:rsid w:val="00015954"/>
    <w:rsid w:val="00020396"/>
    <w:rsid w:val="000527C9"/>
    <w:rsid w:val="0006440A"/>
    <w:rsid w:val="00067D46"/>
    <w:rsid w:val="00071491"/>
    <w:rsid w:val="00071FC7"/>
    <w:rsid w:val="000B7231"/>
    <w:rsid w:val="000D3E93"/>
    <w:rsid w:val="000E3B4F"/>
    <w:rsid w:val="000E4678"/>
    <w:rsid w:val="000F2963"/>
    <w:rsid w:val="00124A7F"/>
    <w:rsid w:val="00124EC8"/>
    <w:rsid w:val="0014000C"/>
    <w:rsid w:val="0014227A"/>
    <w:rsid w:val="001700C9"/>
    <w:rsid w:val="001923D4"/>
    <w:rsid w:val="00196194"/>
    <w:rsid w:val="00196B49"/>
    <w:rsid w:val="00196BF0"/>
    <w:rsid w:val="001A0065"/>
    <w:rsid w:val="001A5C1E"/>
    <w:rsid w:val="001B4456"/>
    <w:rsid w:val="001C1EDD"/>
    <w:rsid w:val="001F6E10"/>
    <w:rsid w:val="00213529"/>
    <w:rsid w:val="002148D4"/>
    <w:rsid w:val="002365A2"/>
    <w:rsid w:val="00241230"/>
    <w:rsid w:val="002755D1"/>
    <w:rsid w:val="00284FA2"/>
    <w:rsid w:val="002B577B"/>
    <w:rsid w:val="002C5355"/>
    <w:rsid w:val="002C799A"/>
    <w:rsid w:val="00305E8C"/>
    <w:rsid w:val="00342545"/>
    <w:rsid w:val="00376551"/>
    <w:rsid w:val="0038056B"/>
    <w:rsid w:val="0038437C"/>
    <w:rsid w:val="003876C7"/>
    <w:rsid w:val="003950CF"/>
    <w:rsid w:val="003961B5"/>
    <w:rsid w:val="003A0EF0"/>
    <w:rsid w:val="003A7F90"/>
    <w:rsid w:val="003C59E0"/>
    <w:rsid w:val="003D0D9A"/>
    <w:rsid w:val="003D2296"/>
    <w:rsid w:val="003E6A95"/>
    <w:rsid w:val="003F1281"/>
    <w:rsid w:val="004036E1"/>
    <w:rsid w:val="004131EC"/>
    <w:rsid w:val="00432CF1"/>
    <w:rsid w:val="00437762"/>
    <w:rsid w:val="00440495"/>
    <w:rsid w:val="004A1F2D"/>
    <w:rsid w:val="004A20A1"/>
    <w:rsid w:val="004A732A"/>
    <w:rsid w:val="004D6960"/>
    <w:rsid w:val="004D76C4"/>
    <w:rsid w:val="004F6664"/>
    <w:rsid w:val="00510791"/>
    <w:rsid w:val="0052143A"/>
    <w:rsid w:val="00536A36"/>
    <w:rsid w:val="0055012C"/>
    <w:rsid w:val="00552EF5"/>
    <w:rsid w:val="00557E4D"/>
    <w:rsid w:val="005B2E57"/>
    <w:rsid w:val="005D1B8E"/>
    <w:rsid w:val="005E12A3"/>
    <w:rsid w:val="005F13A3"/>
    <w:rsid w:val="005F6551"/>
    <w:rsid w:val="006050B0"/>
    <w:rsid w:val="0060580B"/>
    <w:rsid w:val="00636B3A"/>
    <w:rsid w:val="00675954"/>
    <w:rsid w:val="00680EFE"/>
    <w:rsid w:val="006B204F"/>
    <w:rsid w:val="006B64EE"/>
    <w:rsid w:val="006C5B46"/>
    <w:rsid w:val="006E21FE"/>
    <w:rsid w:val="006E28B0"/>
    <w:rsid w:val="0071555E"/>
    <w:rsid w:val="00717B1A"/>
    <w:rsid w:val="00717C31"/>
    <w:rsid w:val="007366DA"/>
    <w:rsid w:val="007537C6"/>
    <w:rsid w:val="007538D3"/>
    <w:rsid w:val="0079108E"/>
    <w:rsid w:val="007931CC"/>
    <w:rsid w:val="007A0E64"/>
    <w:rsid w:val="007A14D3"/>
    <w:rsid w:val="007A4D67"/>
    <w:rsid w:val="007C1C30"/>
    <w:rsid w:val="007C2CA5"/>
    <w:rsid w:val="007D319F"/>
    <w:rsid w:val="007E7FE6"/>
    <w:rsid w:val="007F3A93"/>
    <w:rsid w:val="00810F85"/>
    <w:rsid w:val="0084007E"/>
    <w:rsid w:val="0086328D"/>
    <w:rsid w:val="00863ADC"/>
    <w:rsid w:val="00885EE6"/>
    <w:rsid w:val="00891A25"/>
    <w:rsid w:val="0089653C"/>
    <w:rsid w:val="00897760"/>
    <w:rsid w:val="008A08D0"/>
    <w:rsid w:val="008D672F"/>
    <w:rsid w:val="009041FC"/>
    <w:rsid w:val="00905652"/>
    <w:rsid w:val="00910772"/>
    <w:rsid w:val="00922C79"/>
    <w:rsid w:val="00930B05"/>
    <w:rsid w:val="00936823"/>
    <w:rsid w:val="00936D79"/>
    <w:rsid w:val="009371EA"/>
    <w:rsid w:val="00944BEF"/>
    <w:rsid w:val="009615D6"/>
    <w:rsid w:val="00963A86"/>
    <w:rsid w:val="0096729A"/>
    <w:rsid w:val="0096762D"/>
    <w:rsid w:val="009828B9"/>
    <w:rsid w:val="009A375C"/>
    <w:rsid w:val="009C049C"/>
    <w:rsid w:val="009D2610"/>
    <w:rsid w:val="009D2660"/>
    <w:rsid w:val="009E0D2D"/>
    <w:rsid w:val="009F0A93"/>
    <w:rsid w:val="00A04DCA"/>
    <w:rsid w:val="00A06373"/>
    <w:rsid w:val="00A12E50"/>
    <w:rsid w:val="00A538C5"/>
    <w:rsid w:val="00A6375A"/>
    <w:rsid w:val="00A717C5"/>
    <w:rsid w:val="00A72DD6"/>
    <w:rsid w:val="00A858D2"/>
    <w:rsid w:val="00A96446"/>
    <w:rsid w:val="00AA1812"/>
    <w:rsid w:val="00AD11D9"/>
    <w:rsid w:val="00AD41AA"/>
    <w:rsid w:val="00AE206B"/>
    <w:rsid w:val="00B0564D"/>
    <w:rsid w:val="00B05BAC"/>
    <w:rsid w:val="00B512F6"/>
    <w:rsid w:val="00B6551B"/>
    <w:rsid w:val="00B7195D"/>
    <w:rsid w:val="00B85E7B"/>
    <w:rsid w:val="00B9484F"/>
    <w:rsid w:val="00BA7320"/>
    <w:rsid w:val="00BB546F"/>
    <w:rsid w:val="00BF101F"/>
    <w:rsid w:val="00C0481F"/>
    <w:rsid w:val="00C11C3F"/>
    <w:rsid w:val="00C23EFA"/>
    <w:rsid w:val="00C3076B"/>
    <w:rsid w:val="00C46CCF"/>
    <w:rsid w:val="00C52B34"/>
    <w:rsid w:val="00C72278"/>
    <w:rsid w:val="00C95C14"/>
    <w:rsid w:val="00CD30EB"/>
    <w:rsid w:val="00CD4853"/>
    <w:rsid w:val="00CD4D14"/>
    <w:rsid w:val="00CD5753"/>
    <w:rsid w:val="00CF506D"/>
    <w:rsid w:val="00D13718"/>
    <w:rsid w:val="00D25DBF"/>
    <w:rsid w:val="00D309ED"/>
    <w:rsid w:val="00D359E6"/>
    <w:rsid w:val="00DF7ECB"/>
    <w:rsid w:val="00E01451"/>
    <w:rsid w:val="00E0453A"/>
    <w:rsid w:val="00E14223"/>
    <w:rsid w:val="00E47704"/>
    <w:rsid w:val="00E50D6E"/>
    <w:rsid w:val="00E5446C"/>
    <w:rsid w:val="00E60D6B"/>
    <w:rsid w:val="00E61934"/>
    <w:rsid w:val="00E66AB4"/>
    <w:rsid w:val="00E949C9"/>
    <w:rsid w:val="00ED0869"/>
    <w:rsid w:val="00ED0B79"/>
    <w:rsid w:val="00ED4349"/>
    <w:rsid w:val="00ED748E"/>
    <w:rsid w:val="00EF74A4"/>
    <w:rsid w:val="00F13151"/>
    <w:rsid w:val="00F23E53"/>
    <w:rsid w:val="00F36877"/>
    <w:rsid w:val="00F458C3"/>
    <w:rsid w:val="00F53C4C"/>
    <w:rsid w:val="00F61B2F"/>
    <w:rsid w:val="00F838A9"/>
    <w:rsid w:val="00FA7D6C"/>
    <w:rsid w:val="00FC148A"/>
    <w:rsid w:val="00FC1BB6"/>
    <w:rsid w:val="00FC47F4"/>
    <w:rsid w:val="00FE1859"/>
    <w:rsid w:val="00FE2E44"/>
    <w:rsid w:val="00FE4FBF"/>
    <w:rsid w:val="00FE537C"/>
    <w:rsid w:val="00FE7D16"/>
    <w:rsid w:val="00FF7899"/>
  </w:rsids>
  <m:mathPr>
    <m:mathFont m:val="Cambria Math"/>
    <m:brkBin m:val="before"/>
    <m:brkBinSub m:val="--"/>
    <m:smallFrac/>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F0507"/>
  <w15:docId w15:val="{1DFC6630-D77D-4EC3-A195-A893B1EBF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53C4C"/>
    <w:pPr>
      <w:spacing w:after="0"/>
    </w:pPr>
    <w:rPr>
      <w:rFonts w:ascii="Arial" w:eastAsia="Arial" w:hAnsi="Arial" w:cs="Arial"/>
      <w:color w:val="000000"/>
      <w:lang w:eastAsia="es-CL"/>
    </w:rPr>
  </w:style>
  <w:style w:type="paragraph" w:styleId="Ttulo1">
    <w:name w:val="heading 1"/>
    <w:basedOn w:val="Normal"/>
    <w:next w:val="Normal"/>
    <w:link w:val="Ttulo1Car"/>
    <w:uiPriority w:val="9"/>
    <w:qFormat/>
    <w:rsid w:val="00FF78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9615D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B577B"/>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577B"/>
    <w:rPr>
      <w:rFonts w:ascii="Tahoma" w:eastAsia="Arial" w:hAnsi="Tahoma" w:cs="Tahoma"/>
      <w:color w:val="000000"/>
      <w:sz w:val="16"/>
      <w:szCs w:val="16"/>
      <w:lang w:eastAsia="es-CL"/>
    </w:rPr>
  </w:style>
  <w:style w:type="paragraph" w:customStyle="1" w:styleId="Default">
    <w:name w:val="Default"/>
    <w:rsid w:val="00510791"/>
    <w:pPr>
      <w:autoSpaceDE w:val="0"/>
      <w:autoSpaceDN w:val="0"/>
      <w:adjustRightInd w:val="0"/>
      <w:spacing w:after="0" w:line="240" w:lineRule="auto"/>
    </w:pPr>
    <w:rPr>
      <w:rFonts w:ascii="Georgia" w:eastAsiaTheme="minorEastAsia" w:hAnsi="Georgia" w:cs="Georgia"/>
      <w:bCs/>
      <w:color w:val="000000"/>
      <w:sz w:val="24"/>
      <w:szCs w:val="24"/>
      <w:lang w:eastAsia="es-CL"/>
    </w:rPr>
  </w:style>
  <w:style w:type="character" w:customStyle="1" w:styleId="Ttulo1Car">
    <w:name w:val="Título 1 Car"/>
    <w:basedOn w:val="Fuentedeprrafopredeter"/>
    <w:link w:val="Ttulo1"/>
    <w:uiPriority w:val="9"/>
    <w:rsid w:val="00FF7899"/>
    <w:rPr>
      <w:rFonts w:asciiTheme="majorHAnsi" w:eastAsiaTheme="majorEastAsia" w:hAnsiTheme="majorHAnsi" w:cstheme="majorBidi"/>
      <w:b/>
      <w:bCs/>
      <w:color w:val="365F91" w:themeColor="accent1" w:themeShade="BF"/>
      <w:sz w:val="28"/>
      <w:szCs w:val="28"/>
      <w:lang w:eastAsia="es-CL"/>
    </w:rPr>
  </w:style>
  <w:style w:type="paragraph" w:styleId="Bibliografa">
    <w:name w:val="Bibliography"/>
    <w:basedOn w:val="Normal"/>
    <w:next w:val="Normal"/>
    <w:uiPriority w:val="37"/>
    <w:unhideWhenUsed/>
    <w:rsid w:val="00FF7899"/>
  </w:style>
  <w:style w:type="paragraph" w:styleId="Prrafodelista">
    <w:name w:val="List Paragraph"/>
    <w:basedOn w:val="Normal"/>
    <w:uiPriority w:val="34"/>
    <w:qFormat/>
    <w:rsid w:val="0086328D"/>
    <w:pPr>
      <w:ind w:left="720"/>
      <w:contextualSpacing/>
    </w:pPr>
  </w:style>
  <w:style w:type="character" w:styleId="Hipervnculo">
    <w:name w:val="Hyperlink"/>
    <w:uiPriority w:val="99"/>
    <w:rsid w:val="00FE537C"/>
    <w:rPr>
      <w:color w:val="0000FF"/>
      <w:u w:val="single"/>
    </w:rPr>
  </w:style>
  <w:style w:type="paragraph" w:styleId="Textonotapie">
    <w:name w:val="footnote text"/>
    <w:basedOn w:val="Normal"/>
    <w:link w:val="TextonotapieCar"/>
    <w:uiPriority w:val="99"/>
    <w:semiHidden/>
    <w:unhideWhenUsed/>
    <w:rsid w:val="007D319F"/>
    <w:pPr>
      <w:spacing w:line="240" w:lineRule="auto"/>
    </w:pPr>
    <w:rPr>
      <w:sz w:val="20"/>
      <w:szCs w:val="20"/>
    </w:rPr>
  </w:style>
  <w:style w:type="character" w:customStyle="1" w:styleId="TextonotapieCar">
    <w:name w:val="Texto nota pie Car"/>
    <w:basedOn w:val="Fuentedeprrafopredeter"/>
    <w:link w:val="Textonotapie"/>
    <w:uiPriority w:val="99"/>
    <w:semiHidden/>
    <w:rsid w:val="007D319F"/>
    <w:rPr>
      <w:rFonts w:ascii="Arial" w:eastAsia="Arial" w:hAnsi="Arial" w:cs="Arial"/>
      <w:color w:val="000000"/>
      <w:sz w:val="20"/>
      <w:szCs w:val="20"/>
      <w:lang w:eastAsia="es-CL"/>
    </w:rPr>
  </w:style>
  <w:style w:type="character" w:styleId="Refdenotaalpie">
    <w:name w:val="footnote reference"/>
    <w:basedOn w:val="Fuentedeprrafopredeter"/>
    <w:uiPriority w:val="99"/>
    <w:semiHidden/>
    <w:unhideWhenUsed/>
    <w:rsid w:val="007D319F"/>
    <w:rPr>
      <w:vertAlign w:val="superscript"/>
    </w:rPr>
  </w:style>
  <w:style w:type="table" w:styleId="Tablaconcuadrcula">
    <w:name w:val="Table Grid"/>
    <w:basedOn w:val="Tablanormal"/>
    <w:uiPriority w:val="59"/>
    <w:rsid w:val="00305E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nfasis11">
    <w:name w:val="Lista clara - Énfasis 11"/>
    <w:basedOn w:val="Tablanormal"/>
    <w:uiPriority w:val="61"/>
    <w:rsid w:val="006B204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extonotaalfinal">
    <w:name w:val="endnote text"/>
    <w:basedOn w:val="Normal"/>
    <w:link w:val="TextonotaalfinalCar"/>
    <w:uiPriority w:val="99"/>
    <w:semiHidden/>
    <w:unhideWhenUsed/>
    <w:rsid w:val="00FE7D16"/>
    <w:pPr>
      <w:spacing w:line="240" w:lineRule="auto"/>
    </w:pPr>
    <w:rPr>
      <w:sz w:val="20"/>
      <w:szCs w:val="20"/>
    </w:rPr>
  </w:style>
  <w:style w:type="character" w:customStyle="1" w:styleId="TextonotaalfinalCar">
    <w:name w:val="Texto nota al final Car"/>
    <w:basedOn w:val="Fuentedeprrafopredeter"/>
    <w:link w:val="Textonotaalfinal"/>
    <w:uiPriority w:val="99"/>
    <w:semiHidden/>
    <w:rsid w:val="00FE7D16"/>
    <w:rPr>
      <w:rFonts w:ascii="Arial" w:eastAsia="Arial" w:hAnsi="Arial" w:cs="Arial"/>
      <w:color w:val="000000"/>
      <w:sz w:val="20"/>
      <w:szCs w:val="20"/>
      <w:lang w:eastAsia="es-CL"/>
    </w:rPr>
  </w:style>
  <w:style w:type="character" w:styleId="Refdenotaalfinal">
    <w:name w:val="endnote reference"/>
    <w:basedOn w:val="Fuentedeprrafopredeter"/>
    <w:uiPriority w:val="99"/>
    <w:semiHidden/>
    <w:unhideWhenUsed/>
    <w:rsid w:val="00FE7D16"/>
    <w:rPr>
      <w:vertAlign w:val="superscript"/>
    </w:rPr>
  </w:style>
  <w:style w:type="paragraph" w:styleId="Encabezado">
    <w:name w:val="header"/>
    <w:basedOn w:val="Normal"/>
    <w:link w:val="EncabezadoCar"/>
    <w:uiPriority w:val="99"/>
    <w:unhideWhenUsed/>
    <w:rsid w:val="00DF7ECB"/>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F7ECB"/>
    <w:rPr>
      <w:rFonts w:ascii="Arial" w:eastAsia="Arial" w:hAnsi="Arial" w:cs="Arial"/>
      <w:color w:val="000000"/>
      <w:lang w:eastAsia="es-CL"/>
    </w:rPr>
  </w:style>
  <w:style w:type="paragraph" w:styleId="Piedepgina">
    <w:name w:val="footer"/>
    <w:basedOn w:val="Normal"/>
    <w:link w:val="PiedepginaCar"/>
    <w:uiPriority w:val="99"/>
    <w:unhideWhenUsed/>
    <w:rsid w:val="00DF7ECB"/>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DF7ECB"/>
    <w:rPr>
      <w:rFonts w:ascii="Arial" w:eastAsia="Arial" w:hAnsi="Arial" w:cs="Arial"/>
      <w:color w:val="000000"/>
      <w:lang w:eastAsia="es-CL"/>
    </w:rPr>
  </w:style>
  <w:style w:type="table" w:customStyle="1" w:styleId="Tabladelista3-nfasis11">
    <w:name w:val="Tabla de lista 3 - Énfasis 11"/>
    <w:basedOn w:val="Tablanormal"/>
    <w:uiPriority w:val="48"/>
    <w:rsid w:val="00AD11D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Ttulo2Car">
    <w:name w:val="Título 2 Car"/>
    <w:basedOn w:val="Fuentedeprrafopredeter"/>
    <w:link w:val="Ttulo2"/>
    <w:uiPriority w:val="9"/>
    <w:rsid w:val="009615D6"/>
    <w:rPr>
      <w:rFonts w:asciiTheme="majorHAnsi" w:eastAsiaTheme="majorEastAsia" w:hAnsiTheme="majorHAnsi" w:cstheme="majorBidi"/>
      <w:color w:val="365F91" w:themeColor="accent1" w:themeShade="BF"/>
      <w:sz w:val="26"/>
      <w:szCs w:val="26"/>
      <w:lang w:eastAsia="es-CL"/>
    </w:rPr>
  </w:style>
  <w:style w:type="paragraph" w:styleId="TtulodeTDC">
    <w:name w:val="TOC Heading"/>
    <w:basedOn w:val="Ttulo1"/>
    <w:next w:val="Normal"/>
    <w:uiPriority w:val="39"/>
    <w:unhideWhenUsed/>
    <w:qFormat/>
    <w:rsid w:val="00944BEF"/>
    <w:pPr>
      <w:spacing w:before="240" w:line="259" w:lineRule="auto"/>
      <w:outlineLvl w:val="9"/>
    </w:pPr>
    <w:rPr>
      <w:b w:val="0"/>
      <w:bCs w:val="0"/>
      <w:sz w:val="32"/>
      <w:szCs w:val="32"/>
    </w:rPr>
  </w:style>
  <w:style w:type="paragraph" w:styleId="TDC1">
    <w:name w:val="toc 1"/>
    <w:basedOn w:val="Normal"/>
    <w:next w:val="Normal"/>
    <w:autoRedefine/>
    <w:uiPriority w:val="39"/>
    <w:unhideWhenUsed/>
    <w:rsid w:val="00944BEF"/>
    <w:pPr>
      <w:spacing w:after="100"/>
    </w:pPr>
  </w:style>
  <w:style w:type="paragraph" w:styleId="TDC2">
    <w:name w:val="toc 2"/>
    <w:basedOn w:val="Normal"/>
    <w:next w:val="Normal"/>
    <w:autoRedefine/>
    <w:uiPriority w:val="39"/>
    <w:unhideWhenUsed/>
    <w:rsid w:val="00944BEF"/>
    <w:pPr>
      <w:spacing w:after="100"/>
      <w:ind w:left="220"/>
    </w:pPr>
  </w:style>
  <w:style w:type="paragraph" w:styleId="NormalWeb">
    <w:name w:val="Normal (Web)"/>
    <w:basedOn w:val="Normal"/>
    <w:uiPriority w:val="99"/>
    <w:unhideWhenUsed/>
    <w:rsid w:val="007F3A9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Refdecomentario">
    <w:name w:val="annotation reference"/>
    <w:basedOn w:val="Fuentedeprrafopredeter"/>
    <w:uiPriority w:val="99"/>
    <w:semiHidden/>
    <w:unhideWhenUsed/>
    <w:rsid w:val="00284FA2"/>
    <w:rPr>
      <w:sz w:val="16"/>
      <w:szCs w:val="16"/>
    </w:rPr>
  </w:style>
  <w:style w:type="paragraph" w:styleId="Textocomentario">
    <w:name w:val="annotation text"/>
    <w:basedOn w:val="Normal"/>
    <w:link w:val="TextocomentarioCar"/>
    <w:uiPriority w:val="99"/>
    <w:semiHidden/>
    <w:unhideWhenUsed/>
    <w:rsid w:val="00284FA2"/>
    <w:pPr>
      <w:spacing w:line="240" w:lineRule="auto"/>
      <w:contextualSpacing/>
    </w:pPr>
    <w:rPr>
      <w:color w:val="auto"/>
      <w:sz w:val="20"/>
      <w:szCs w:val="20"/>
      <w:lang w:val="es"/>
    </w:rPr>
  </w:style>
  <w:style w:type="character" w:customStyle="1" w:styleId="TextocomentarioCar">
    <w:name w:val="Texto comentario Car"/>
    <w:basedOn w:val="Fuentedeprrafopredeter"/>
    <w:link w:val="Textocomentario"/>
    <w:uiPriority w:val="99"/>
    <w:semiHidden/>
    <w:rsid w:val="00284FA2"/>
    <w:rPr>
      <w:rFonts w:ascii="Arial" w:eastAsia="Arial" w:hAnsi="Arial" w:cs="Arial"/>
      <w:sz w:val="20"/>
      <w:szCs w:val="20"/>
      <w:lang w:val="es" w:eastAsia="es-CL"/>
    </w:rPr>
  </w:style>
  <w:style w:type="paragraph" w:styleId="Asuntodelcomentario">
    <w:name w:val="annotation subject"/>
    <w:basedOn w:val="Textocomentario"/>
    <w:next w:val="Textocomentario"/>
    <w:link w:val="AsuntodelcomentarioCar"/>
    <w:uiPriority w:val="99"/>
    <w:semiHidden/>
    <w:unhideWhenUsed/>
    <w:rsid w:val="00FC148A"/>
    <w:pPr>
      <w:contextualSpacing w:val="0"/>
    </w:pPr>
    <w:rPr>
      <w:b/>
      <w:bCs/>
      <w:color w:val="000000"/>
      <w:lang w:val="es-CL"/>
    </w:rPr>
  </w:style>
  <w:style w:type="character" w:customStyle="1" w:styleId="AsuntodelcomentarioCar">
    <w:name w:val="Asunto del comentario Car"/>
    <w:basedOn w:val="TextocomentarioCar"/>
    <w:link w:val="Asuntodelcomentario"/>
    <w:uiPriority w:val="99"/>
    <w:semiHidden/>
    <w:rsid w:val="00FC148A"/>
    <w:rPr>
      <w:rFonts w:ascii="Arial" w:eastAsia="Arial" w:hAnsi="Arial" w:cs="Arial"/>
      <w:b/>
      <w:bCs/>
      <w:color w:val="000000"/>
      <w:sz w:val="20"/>
      <w:szCs w:val="20"/>
      <w:lang w:val="es" w:eastAsia="es-CL"/>
    </w:rPr>
  </w:style>
  <w:style w:type="paragraph" w:styleId="Revisin">
    <w:name w:val="Revision"/>
    <w:hidden/>
    <w:uiPriority w:val="99"/>
    <w:semiHidden/>
    <w:rsid w:val="00BB546F"/>
    <w:pPr>
      <w:spacing w:after="0" w:line="240" w:lineRule="auto"/>
    </w:pPr>
    <w:rPr>
      <w:rFonts w:ascii="Arial" w:eastAsia="Arial" w:hAnsi="Arial" w:cs="Arial"/>
      <w:color w:val="000000"/>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305">
      <w:bodyDiv w:val="1"/>
      <w:marLeft w:val="0"/>
      <w:marRight w:val="0"/>
      <w:marTop w:val="0"/>
      <w:marBottom w:val="0"/>
      <w:divBdr>
        <w:top w:val="none" w:sz="0" w:space="0" w:color="auto"/>
        <w:left w:val="none" w:sz="0" w:space="0" w:color="auto"/>
        <w:bottom w:val="none" w:sz="0" w:space="0" w:color="auto"/>
        <w:right w:val="none" w:sz="0" w:space="0" w:color="auto"/>
      </w:divBdr>
      <w:divsChild>
        <w:div w:id="266273530">
          <w:marLeft w:val="0"/>
          <w:marRight w:val="0"/>
          <w:marTop w:val="0"/>
          <w:marBottom w:val="0"/>
          <w:divBdr>
            <w:top w:val="none" w:sz="0" w:space="0" w:color="auto"/>
            <w:left w:val="none" w:sz="0" w:space="0" w:color="auto"/>
            <w:bottom w:val="none" w:sz="0" w:space="0" w:color="auto"/>
            <w:right w:val="none" w:sz="0" w:space="0" w:color="auto"/>
          </w:divBdr>
        </w:div>
        <w:div w:id="901335878">
          <w:marLeft w:val="0"/>
          <w:marRight w:val="0"/>
          <w:marTop w:val="0"/>
          <w:marBottom w:val="0"/>
          <w:divBdr>
            <w:top w:val="none" w:sz="0" w:space="0" w:color="auto"/>
            <w:left w:val="none" w:sz="0" w:space="0" w:color="auto"/>
            <w:bottom w:val="none" w:sz="0" w:space="0" w:color="auto"/>
            <w:right w:val="none" w:sz="0" w:space="0" w:color="auto"/>
          </w:divBdr>
        </w:div>
      </w:divsChild>
    </w:div>
    <w:div w:id="3671306">
      <w:bodyDiv w:val="1"/>
      <w:marLeft w:val="0"/>
      <w:marRight w:val="0"/>
      <w:marTop w:val="0"/>
      <w:marBottom w:val="0"/>
      <w:divBdr>
        <w:top w:val="none" w:sz="0" w:space="0" w:color="auto"/>
        <w:left w:val="none" w:sz="0" w:space="0" w:color="auto"/>
        <w:bottom w:val="none" w:sz="0" w:space="0" w:color="auto"/>
        <w:right w:val="none" w:sz="0" w:space="0" w:color="auto"/>
      </w:divBdr>
      <w:divsChild>
        <w:div w:id="1046686112">
          <w:marLeft w:val="0"/>
          <w:marRight w:val="0"/>
          <w:marTop w:val="0"/>
          <w:marBottom w:val="0"/>
          <w:divBdr>
            <w:top w:val="none" w:sz="0" w:space="0" w:color="auto"/>
            <w:left w:val="none" w:sz="0" w:space="0" w:color="auto"/>
            <w:bottom w:val="none" w:sz="0" w:space="0" w:color="auto"/>
            <w:right w:val="none" w:sz="0" w:space="0" w:color="auto"/>
          </w:divBdr>
        </w:div>
        <w:div w:id="2146779416">
          <w:marLeft w:val="0"/>
          <w:marRight w:val="0"/>
          <w:marTop w:val="0"/>
          <w:marBottom w:val="0"/>
          <w:divBdr>
            <w:top w:val="none" w:sz="0" w:space="0" w:color="auto"/>
            <w:left w:val="none" w:sz="0" w:space="0" w:color="auto"/>
            <w:bottom w:val="none" w:sz="0" w:space="0" w:color="auto"/>
            <w:right w:val="none" w:sz="0" w:space="0" w:color="auto"/>
          </w:divBdr>
        </w:div>
        <w:div w:id="379520266">
          <w:marLeft w:val="0"/>
          <w:marRight w:val="0"/>
          <w:marTop w:val="0"/>
          <w:marBottom w:val="0"/>
          <w:divBdr>
            <w:top w:val="none" w:sz="0" w:space="0" w:color="auto"/>
            <w:left w:val="none" w:sz="0" w:space="0" w:color="auto"/>
            <w:bottom w:val="none" w:sz="0" w:space="0" w:color="auto"/>
            <w:right w:val="none" w:sz="0" w:space="0" w:color="auto"/>
          </w:divBdr>
        </w:div>
        <w:div w:id="2122868888">
          <w:marLeft w:val="0"/>
          <w:marRight w:val="0"/>
          <w:marTop w:val="0"/>
          <w:marBottom w:val="0"/>
          <w:divBdr>
            <w:top w:val="none" w:sz="0" w:space="0" w:color="auto"/>
            <w:left w:val="none" w:sz="0" w:space="0" w:color="auto"/>
            <w:bottom w:val="none" w:sz="0" w:space="0" w:color="auto"/>
            <w:right w:val="none" w:sz="0" w:space="0" w:color="auto"/>
          </w:divBdr>
        </w:div>
        <w:div w:id="1084650105">
          <w:marLeft w:val="1440"/>
          <w:marRight w:val="0"/>
          <w:marTop w:val="0"/>
          <w:marBottom w:val="0"/>
          <w:divBdr>
            <w:top w:val="none" w:sz="0" w:space="0" w:color="auto"/>
            <w:left w:val="none" w:sz="0" w:space="0" w:color="auto"/>
            <w:bottom w:val="none" w:sz="0" w:space="0" w:color="auto"/>
            <w:right w:val="none" w:sz="0" w:space="0" w:color="auto"/>
          </w:divBdr>
        </w:div>
        <w:div w:id="1225877291">
          <w:marLeft w:val="1440"/>
          <w:marRight w:val="0"/>
          <w:marTop w:val="0"/>
          <w:marBottom w:val="0"/>
          <w:divBdr>
            <w:top w:val="none" w:sz="0" w:space="0" w:color="auto"/>
            <w:left w:val="none" w:sz="0" w:space="0" w:color="auto"/>
            <w:bottom w:val="none" w:sz="0" w:space="0" w:color="auto"/>
            <w:right w:val="none" w:sz="0" w:space="0" w:color="auto"/>
          </w:divBdr>
        </w:div>
        <w:div w:id="744693235">
          <w:marLeft w:val="720"/>
          <w:marRight w:val="0"/>
          <w:marTop w:val="0"/>
          <w:marBottom w:val="0"/>
          <w:divBdr>
            <w:top w:val="none" w:sz="0" w:space="0" w:color="auto"/>
            <w:left w:val="none" w:sz="0" w:space="0" w:color="auto"/>
            <w:bottom w:val="none" w:sz="0" w:space="0" w:color="auto"/>
            <w:right w:val="none" w:sz="0" w:space="0" w:color="auto"/>
          </w:divBdr>
        </w:div>
        <w:div w:id="447966668">
          <w:marLeft w:val="1440"/>
          <w:marRight w:val="0"/>
          <w:marTop w:val="0"/>
          <w:marBottom w:val="0"/>
          <w:divBdr>
            <w:top w:val="none" w:sz="0" w:space="0" w:color="auto"/>
            <w:left w:val="none" w:sz="0" w:space="0" w:color="auto"/>
            <w:bottom w:val="none" w:sz="0" w:space="0" w:color="auto"/>
            <w:right w:val="none" w:sz="0" w:space="0" w:color="auto"/>
          </w:divBdr>
        </w:div>
        <w:div w:id="1687511895">
          <w:marLeft w:val="720"/>
          <w:marRight w:val="0"/>
          <w:marTop w:val="0"/>
          <w:marBottom w:val="0"/>
          <w:divBdr>
            <w:top w:val="none" w:sz="0" w:space="0" w:color="auto"/>
            <w:left w:val="none" w:sz="0" w:space="0" w:color="auto"/>
            <w:bottom w:val="none" w:sz="0" w:space="0" w:color="auto"/>
            <w:right w:val="none" w:sz="0" w:space="0" w:color="auto"/>
          </w:divBdr>
        </w:div>
        <w:div w:id="424613051">
          <w:marLeft w:val="720"/>
          <w:marRight w:val="0"/>
          <w:marTop w:val="0"/>
          <w:marBottom w:val="0"/>
          <w:divBdr>
            <w:top w:val="none" w:sz="0" w:space="0" w:color="auto"/>
            <w:left w:val="none" w:sz="0" w:space="0" w:color="auto"/>
            <w:bottom w:val="none" w:sz="0" w:space="0" w:color="auto"/>
            <w:right w:val="none" w:sz="0" w:space="0" w:color="auto"/>
          </w:divBdr>
        </w:div>
        <w:div w:id="54668194">
          <w:marLeft w:val="1440"/>
          <w:marRight w:val="0"/>
          <w:marTop w:val="0"/>
          <w:marBottom w:val="0"/>
          <w:divBdr>
            <w:top w:val="none" w:sz="0" w:space="0" w:color="auto"/>
            <w:left w:val="none" w:sz="0" w:space="0" w:color="auto"/>
            <w:bottom w:val="none" w:sz="0" w:space="0" w:color="auto"/>
            <w:right w:val="none" w:sz="0" w:space="0" w:color="auto"/>
          </w:divBdr>
        </w:div>
        <w:div w:id="342128941">
          <w:marLeft w:val="0"/>
          <w:marRight w:val="0"/>
          <w:marTop w:val="0"/>
          <w:marBottom w:val="0"/>
          <w:divBdr>
            <w:top w:val="none" w:sz="0" w:space="0" w:color="auto"/>
            <w:left w:val="none" w:sz="0" w:space="0" w:color="auto"/>
            <w:bottom w:val="none" w:sz="0" w:space="0" w:color="auto"/>
            <w:right w:val="none" w:sz="0" w:space="0" w:color="auto"/>
          </w:divBdr>
        </w:div>
      </w:divsChild>
    </w:div>
    <w:div w:id="15159619">
      <w:bodyDiv w:val="1"/>
      <w:marLeft w:val="0"/>
      <w:marRight w:val="0"/>
      <w:marTop w:val="0"/>
      <w:marBottom w:val="0"/>
      <w:divBdr>
        <w:top w:val="none" w:sz="0" w:space="0" w:color="auto"/>
        <w:left w:val="none" w:sz="0" w:space="0" w:color="auto"/>
        <w:bottom w:val="none" w:sz="0" w:space="0" w:color="auto"/>
        <w:right w:val="none" w:sz="0" w:space="0" w:color="auto"/>
      </w:divBdr>
    </w:div>
    <w:div w:id="36661725">
      <w:bodyDiv w:val="1"/>
      <w:marLeft w:val="0"/>
      <w:marRight w:val="0"/>
      <w:marTop w:val="0"/>
      <w:marBottom w:val="0"/>
      <w:divBdr>
        <w:top w:val="none" w:sz="0" w:space="0" w:color="auto"/>
        <w:left w:val="none" w:sz="0" w:space="0" w:color="auto"/>
        <w:bottom w:val="none" w:sz="0" w:space="0" w:color="auto"/>
        <w:right w:val="none" w:sz="0" w:space="0" w:color="auto"/>
      </w:divBdr>
    </w:div>
    <w:div w:id="39866379">
      <w:bodyDiv w:val="1"/>
      <w:marLeft w:val="0"/>
      <w:marRight w:val="0"/>
      <w:marTop w:val="0"/>
      <w:marBottom w:val="0"/>
      <w:divBdr>
        <w:top w:val="none" w:sz="0" w:space="0" w:color="auto"/>
        <w:left w:val="none" w:sz="0" w:space="0" w:color="auto"/>
        <w:bottom w:val="none" w:sz="0" w:space="0" w:color="auto"/>
        <w:right w:val="none" w:sz="0" w:space="0" w:color="auto"/>
      </w:divBdr>
    </w:div>
    <w:div w:id="79907313">
      <w:bodyDiv w:val="1"/>
      <w:marLeft w:val="0"/>
      <w:marRight w:val="0"/>
      <w:marTop w:val="0"/>
      <w:marBottom w:val="0"/>
      <w:divBdr>
        <w:top w:val="none" w:sz="0" w:space="0" w:color="auto"/>
        <w:left w:val="none" w:sz="0" w:space="0" w:color="auto"/>
        <w:bottom w:val="none" w:sz="0" w:space="0" w:color="auto"/>
        <w:right w:val="none" w:sz="0" w:space="0" w:color="auto"/>
      </w:divBdr>
    </w:div>
    <w:div w:id="81029460">
      <w:bodyDiv w:val="1"/>
      <w:marLeft w:val="0"/>
      <w:marRight w:val="0"/>
      <w:marTop w:val="0"/>
      <w:marBottom w:val="0"/>
      <w:divBdr>
        <w:top w:val="none" w:sz="0" w:space="0" w:color="auto"/>
        <w:left w:val="none" w:sz="0" w:space="0" w:color="auto"/>
        <w:bottom w:val="none" w:sz="0" w:space="0" w:color="auto"/>
        <w:right w:val="none" w:sz="0" w:space="0" w:color="auto"/>
      </w:divBdr>
    </w:div>
    <w:div w:id="130372317">
      <w:bodyDiv w:val="1"/>
      <w:marLeft w:val="0"/>
      <w:marRight w:val="0"/>
      <w:marTop w:val="0"/>
      <w:marBottom w:val="0"/>
      <w:divBdr>
        <w:top w:val="none" w:sz="0" w:space="0" w:color="auto"/>
        <w:left w:val="none" w:sz="0" w:space="0" w:color="auto"/>
        <w:bottom w:val="none" w:sz="0" w:space="0" w:color="auto"/>
        <w:right w:val="none" w:sz="0" w:space="0" w:color="auto"/>
      </w:divBdr>
    </w:div>
    <w:div w:id="142746626">
      <w:bodyDiv w:val="1"/>
      <w:marLeft w:val="0"/>
      <w:marRight w:val="0"/>
      <w:marTop w:val="0"/>
      <w:marBottom w:val="0"/>
      <w:divBdr>
        <w:top w:val="none" w:sz="0" w:space="0" w:color="auto"/>
        <w:left w:val="none" w:sz="0" w:space="0" w:color="auto"/>
        <w:bottom w:val="none" w:sz="0" w:space="0" w:color="auto"/>
        <w:right w:val="none" w:sz="0" w:space="0" w:color="auto"/>
      </w:divBdr>
    </w:div>
    <w:div w:id="191261768">
      <w:bodyDiv w:val="1"/>
      <w:marLeft w:val="0"/>
      <w:marRight w:val="0"/>
      <w:marTop w:val="0"/>
      <w:marBottom w:val="0"/>
      <w:divBdr>
        <w:top w:val="none" w:sz="0" w:space="0" w:color="auto"/>
        <w:left w:val="none" w:sz="0" w:space="0" w:color="auto"/>
        <w:bottom w:val="none" w:sz="0" w:space="0" w:color="auto"/>
        <w:right w:val="none" w:sz="0" w:space="0" w:color="auto"/>
      </w:divBdr>
    </w:div>
    <w:div w:id="197741747">
      <w:bodyDiv w:val="1"/>
      <w:marLeft w:val="0"/>
      <w:marRight w:val="0"/>
      <w:marTop w:val="0"/>
      <w:marBottom w:val="0"/>
      <w:divBdr>
        <w:top w:val="none" w:sz="0" w:space="0" w:color="auto"/>
        <w:left w:val="none" w:sz="0" w:space="0" w:color="auto"/>
        <w:bottom w:val="none" w:sz="0" w:space="0" w:color="auto"/>
        <w:right w:val="none" w:sz="0" w:space="0" w:color="auto"/>
      </w:divBdr>
    </w:div>
    <w:div w:id="207618473">
      <w:bodyDiv w:val="1"/>
      <w:marLeft w:val="0"/>
      <w:marRight w:val="0"/>
      <w:marTop w:val="0"/>
      <w:marBottom w:val="0"/>
      <w:divBdr>
        <w:top w:val="none" w:sz="0" w:space="0" w:color="auto"/>
        <w:left w:val="none" w:sz="0" w:space="0" w:color="auto"/>
        <w:bottom w:val="none" w:sz="0" w:space="0" w:color="auto"/>
        <w:right w:val="none" w:sz="0" w:space="0" w:color="auto"/>
      </w:divBdr>
    </w:div>
    <w:div w:id="229581110">
      <w:bodyDiv w:val="1"/>
      <w:marLeft w:val="0"/>
      <w:marRight w:val="0"/>
      <w:marTop w:val="0"/>
      <w:marBottom w:val="0"/>
      <w:divBdr>
        <w:top w:val="none" w:sz="0" w:space="0" w:color="auto"/>
        <w:left w:val="none" w:sz="0" w:space="0" w:color="auto"/>
        <w:bottom w:val="none" w:sz="0" w:space="0" w:color="auto"/>
        <w:right w:val="none" w:sz="0" w:space="0" w:color="auto"/>
      </w:divBdr>
    </w:div>
    <w:div w:id="243877322">
      <w:bodyDiv w:val="1"/>
      <w:marLeft w:val="0"/>
      <w:marRight w:val="0"/>
      <w:marTop w:val="0"/>
      <w:marBottom w:val="0"/>
      <w:divBdr>
        <w:top w:val="none" w:sz="0" w:space="0" w:color="auto"/>
        <w:left w:val="none" w:sz="0" w:space="0" w:color="auto"/>
        <w:bottom w:val="none" w:sz="0" w:space="0" w:color="auto"/>
        <w:right w:val="none" w:sz="0" w:space="0" w:color="auto"/>
      </w:divBdr>
    </w:div>
    <w:div w:id="278072296">
      <w:bodyDiv w:val="1"/>
      <w:marLeft w:val="0"/>
      <w:marRight w:val="0"/>
      <w:marTop w:val="0"/>
      <w:marBottom w:val="0"/>
      <w:divBdr>
        <w:top w:val="none" w:sz="0" w:space="0" w:color="auto"/>
        <w:left w:val="none" w:sz="0" w:space="0" w:color="auto"/>
        <w:bottom w:val="none" w:sz="0" w:space="0" w:color="auto"/>
        <w:right w:val="none" w:sz="0" w:space="0" w:color="auto"/>
      </w:divBdr>
    </w:div>
    <w:div w:id="296031925">
      <w:bodyDiv w:val="1"/>
      <w:marLeft w:val="0"/>
      <w:marRight w:val="0"/>
      <w:marTop w:val="0"/>
      <w:marBottom w:val="0"/>
      <w:divBdr>
        <w:top w:val="none" w:sz="0" w:space="0" w:color="auto"/>
        <w:left w:val="none" w:sz="0" w:space="0" w:color="auto"/>
        <w:bottom w:val="none" w:sz="0" w:space="0" w:color="auto"/>
        <w:right w:val="none" w:sz="0" w:space="0" w:color="auto"/>
      </w:divBdr>
    </w:div>
    <w:div w:id="297106931">
      <w:bodyDiv w:val="1"/>
      <w:marLeft w:val="0"/>
      <w:marRight w:val="0"/>
      <w:marTop w:val="0"/>
      <w:marBottom w:val="0"/>
      <w:divBdr>
        <w:top w:val="none" w:sz="0" w:space="0" w:color="auto"/>
        <w:left w:val="none" w:sz="0" w:space="0" w:color="auto"/>
        <w:bottom w:val="none" w:sz="0" w:space="0" w:color="auto"/>
        <w:right w:val="none" w:sz="0" w:space="0" w:color="auto"/>
      </w:divBdr>
    </w:div>
    <w:div w:id="323827057">
      <w:bodyDiv w:val="1"/>
      <w:marLeft w:val="0"/>
      <w:marRight w:val="0"/>
      <w:marTop w:val="0"/>
      <w:marBottom w:val="0"/>
      <w:divBdr>
        <w:top w:val="none" w:sz="0" w:space="0" w:color="auto"/>
        <w:left w:val="none" w:sz="0" w:space="0" w:color="auto"/>
        <w:bottom w:val="none" w:sz="0" w:space="0" w:color="auto"/>
        <w:right w:val="none" w:sz="0" w:space="0" w:color="auto"/>
      </w:divBdr>
    </w:div>
    <w:div w:id="325523820">
      <w:bodyDiv w:val="1"/>
      <w:marLeft w:val="0"/>
      <w:marRight w:val="0"/>
      <w:marTop w:val="0"/>
      <w:marBottom w:val="0"/>
      <w:divBdr>
        <w:top w:val="none" w:sz="0" w:space="0" w:color="auto"/>
        <w:left w:val="none" w:sz="0" w:space="0" w:color="auto"/>
        <w:bottom w:val="none" w:sz="0" w:space="0" w:color="auto"/>
        <w:right w:val="none" w:sz="0" w:space="0" w:color="auto"/>
      </w:divBdr>
    </w:div>
    <w:div w:id="355927738">
      <w:bodyDiv w:val="1"/>
      <w:marLeft w:val="0"/>
      <w:marRight w:val="0"/>
      <w:marTop w:val="0"/>
      <w:marBottom w:val="0"/>
      <w:divBdr>
        <w:top w:val="none" w:sz="0" w:space="0" w:color="auto"/>
        <w:left w:val="none" w:sz="0" w:space="0" w:color="auto"/>
        <w:bottom w:val="none" w:sz="0" w:space="0" w:color="auto"/>
        <w:right w:val="none" w:sz="0" w:space="0" w:color="auto"/>
      </w:divBdr>
    </w:div>
    <w:div w:id="373968369">
      <w:bodyDiv w:val="1"/>
      <w:marLeft w:val="0"/>
      <w:marRight w:val="0"/>
      <w:marTop w:val="0"/>
      <w:marBottom w:val="0"/>
      <w:divBdr>
        <w:top w:val="none" w:sz="0" w:space="0" w:color="auto"/>
        <w:left w:val="none" w:sz="0" w:space="0" w:color="auto"/>
        <w:bottom w:val="none" w:sz="0" w:space="0" w:color="auto"/>
        <w:right w:val="none" w:sz="0" w:space="0" w:color="auto"/>
      </w:divBdr>
    </w:div>
    <w:div w:id="382339100">
      <w:bodyDiv w:val="1"/>
      <w:marLeft w:val="0"/>
      <w:marRight w:val="0"/>
      <w:marTop w:val="0"/>
      <w:marBottom w:val="0"/>
      <w:divBdr>
        <w:top w:val="none" w:sz="0" w:space="0" w:color="auto"/>
        <w:left w:val="none" w:sz="0" w:space="0" w:color="auto"/>
        <w:bottom w:val="none" w:sz="0" w:space="0" w:color="auto"/>
        <w:right w:val="none" w:sz="0" w:space="0" w:color="auto"/>
      </w:divBdr>
    </w:div>
    <w:div w:id="400908745">
      <w:bodyDiv w:val="1"/>
      <w:marLeft w:val="0"/>
      <w:marRight w:val="0"/>
      <w:marTop w:val="0"/>
      <w:marBottom w:val="0"/>
      <w:divBdr>
        <w:top w:val="none" w:sz="0" w:space="0" w:color="auto"/>
        <w:left w:val="none" w:sz="0" w:space="0" w:color="auto"/>
        <w:bottom w:val="none" w:sz="0" w:space="0" w:color="auto"/>
        <w:right w:val="none" w:sz="0" w:space="0" w:color="auto"/>
      </w:divBdr>
    </w:div>
    <w:div w:id="401297998">
      <w:bodyDiv w:val="1"/>
      <w:marLeft w:val="0"/>
      <w:marRight w:val="0"/>
      <w:marTop w:val="0"/>
      <w:marBottom w:val="0"/>
      <w:divBdr>
        <w:top w:val="none" w:sz="0" w:space="0" w:color="auto"/>
        <w:left w:val="none" w:sz="0" w:space="0" w:color="auto"/>
        <w:bottom w:val="none" w:sz="0" w:space="0" w:color="auto"/>
        <w:right w:val="none" w:sz="0" w:space="0" w:color="auto"/>
      </w:divBdr>
    </w:div>
    <w:div w:id="445464407">
      <w:bodyDiv w:val="1"/>
      <w:marLeft w:val="0"/>
      <w:marRight w:val="0"/>
      <w:marTop w:val="0"/>
      <w:marBottom w:val="0"/>
      <w:divBdr>
        <w:top w:val="none" w:sz="0" w:space="0" w:color="auto"/>
        <w:left w:val="none" w:sz="0" w:space="0" w:color="auto"/>
        <w:bottom w:val="none" w:sz="0" w:space="0" w:color="auto"/>
        <w:right w:val="none" w:sz="0" w:space="0" w:color="auto"/>
      </w:divBdr>
    </w:div>
    <w:div w:id="445542510">
      <w:bodyDiv w:val="1"/>
      <w:marLeft w:val="0"/>
      <w:marRight w:val="0"/>
      <w:marTop w:val="0"/>
      <w:marBottom w:val="0"/>
      <w:divBdr>
        <w:top w:val="none" w:sz="0" w:space="0" w:color="auto"/>
        <w:left w:val="none" w:sz="0" w:space="0" w:color="auto"/>
        <w:bottom w:val="none" w:sz="0" w:space="0" w:color="auto"/>
        <w:right w:val="none" w:sz="0" w:space="0" w:color="auto"/>
      </w:divBdr>
    </w:div>
    <w:div w:id="509412015">
      <w:bodyDiv w:val="1"/>
      <w:marLeft w:val="0"/>
      <w:marRight w:val="0"/>
      <w:marTop w:val="0"/>
      <w:marBottom w:val="0"/>
      <w:divBdr>
        <w:top w:val="none" w:sz="0" w:space="0" w:color="auto"/>
        <w:left w:val="none" w:sz="0" w:space="0" w:color="auto"/>
        <w:bottom w:val="none" w:sz="0" w:space="0" w:color="auto"/>
        <w:right w:val="none" w:sz="0" w:space="0" w:color="auto"/>
      </w:divBdr>
    </w:div>
    <w:div w:id="516122637">
      <w:bodyDiv w:val="1"/>
      <w:marLeft w:val="0"/>
      <w:marRight w:val="0"/>
      <w:marTop w:val="0"/>
      <w:marBottom w:val="0"/>
      <w:divBdr>
        <w:top w:val="none" w:sz="0" w:space="0" w:color="auto"/>
        <w:left w:val="none" w:sz="0" w:space="0" w:color="auto"/>
        <w:bottom w:val="none" w:sz="0" w:space="0" w:color="auto"/>
        <w:right w:val="none" w:sz="0" w:space="0" w:color="auto"/>
      </w:divBdr>
    </w:div>
    <w:div w:id="541283792">
      <w:bodyDiv w:val="1"/>
      <w:marLeft w:val="0"/>
      <w:marRight w:val="0"/>
      <w:marTop w:val="0"/>
      <w:marBottom w:val="0"/>
      <w:divBdr>
        <w:top w:val="none" w:sz="0" w:space="0" w:color="auto"/>
        <w:left w:val="none" w:sz="0" w:space="0" w:color="auto"/>
        <w:bottom w:val="none" w:sz="0" w:space="0" w:color="auto"/>
        <w:right w:val="none" w:sz="0" w:space="0" w:color="auto"/>
      </w:divBdr>
    </w:div>
    <w:div w:id="547684991">
      <w:bodyDiv w:val="1"/>
      <w:marLeft w:val="0"/>
      <w:marRight w:val="0"/>
      <w:marTop w:val="0"/>
      <w:marBottom w:val="0"/>
      <w:divBdr>
        <w:top w:val="none" w:sz="0" w:space="0" w:color="auto"/>
        <w:left w:val="none" w:sz="0" w:space="0" w:color="auto"/>
        <w:bottom w:val="none" w:sz="0" w:space="0" w:color="auto"/>
        <w:right w:val="none" w:sz="0" w:space="0" w:color="auto"/>
      </w:divBdr>
    </w:div>
    <w:div w:id="553591055">
      <w:bodyDiv w:val="1"/>
      <w:marLeft w:val="0"/>
      <w:marRight w:val="0"/>
      <w:marTop w:val="0"/>
      <w:marBottom w:val="0"/>
      <w:divBdr>
        <w:top w:val="none" w:sz="0" w:space="0" w:color="auto"/>
        <w:left w:val="none" w:sz="0" w:space="0" w:color="auto"/>
        <w:bottom w:val="none" w:sz="0" w:space="0" w:color="auto"/>
        <w:right w:val="none" w:sz="0" w:space="0" w:color="auto"/>
      </w:divBdr>
    </w:div>
    <w:div w:id="555360271">
      <w:bodyDiv w:val="1"/>
      <w:marLeft w:val="0"/>
      <w:marRight w:val="0"/>
      <w:marTop w:val="0"/>
      <w:marBottom w:val="0"/>
      <w:divBdr>
        <w:top w:val="none" w:sz="0" w:space="0" w:color="auto"/>
        <w:left w:val="none" w:sz="0" w:space="0" w:color="auto"/>
        <w:bottom w:val="none" w:sz="0" w:space="0" w:color="auto"/>
        <w:right w:val="none" w:sz="0" w:space="0" w:color="auto"/>
      </w:divBdr>
    </w:div>
    <w:div w:id="564098863">
      <w:bodyDiv w:val="1"/>
      <w:marLeft w:val="0"/>
      <w:marRight w:val="0"/>
      <w:marTop w:val="0"/>
      <w:marBottom w:val="0"/>
      <w:divBdr>
        <w:top w:val="none" w:sz="0" w:space="0" w:color="auto"/>
        <w:left w:val="none" w:sz="0" w:space="0" w:color="auto"/>
        <w:bottom w:val="none" w:sz="0" w:space="0" w:color="auto"/>
        <w:right w:val="none" w:sz="0" w:space="0" w:color="auto"/>
      </w:divBdr>
    </w:div>
    <w:div w:id="565267648">
      <w:bodyDiv w:val="1"/>
      <w:marLeft w:val="0"/>
      <w:marRight w:val="0"/>
      <w:marTop w:val="0"/>
      <w:marBottom w:val="0"/>
      <w:divBdr>
        <w:top w:val="none" w:sz="0" w:space="0" w:color="auto"/>
        <w:left w:val="none" w:sz="0" w:space="0" w:color="auto"/>
        <w:bottom w:val="none" w:sz="0" w:space="0" w:color="auto"/>
        <w:right w:val="none" w:sz="0" w:space="0" w:color="auto"/>
      </w:divBdr>
    </w:div>
    <w:div w:id="578564911">
      <w:bodyDiv w:val="1"/>
      <w:marLeft w:val="0"/>
      <w:marRight w:val="0"/>
      <w:marTop w:val="0"/>
      <w:marBottom w:val="0"/>
      <w:divBdr>
        <w:top w:val="none" w:sz="0" w:space="0" w:color="auto"/>
        <w:left w:val="none" w:sz="0" w:space="0" w:color="auto"/>
        <w:bottom w:val="none" w:sz="0" w:space="0" w:color="auto"/>
        <w:right w:val="none" w:sz="0" w:space="0" w:color="auto"/>
      </w:divBdr>
    </w:div>
    <w:div w:id="616329725">
      <w:bodyDiv w:val="1"/>
      <w:marLeft w:val="0"/>
      <w:marRight w:val="0"/>
      <w:marTop w:val="0"/>
      <w:marBottom w:val="0"/>
      <w:divBdr>
        <w:top w:val="none" w:sz="0" w:space="0" w:color="auto"/>
        <w:left w:val="none" w:sz="0" w:space="0" w:color="auto"/>
        <w:bottom w:val="none" w:sz="0" w:space="0" w:color="auto"/>
        <w:right w:val="none" w:sz="0" w:space="0" w:color="auto"/>
      </w:divBdr>
    </w:div>
    <w:div w:id="623973577">
      <w:bodyDiv w:val="1"/>
      <w:marLeft w:val="0"/>
      <w:marRight w:val="0"/>
      <w:marTop w:val="0"/>
      <w:marBottom w:val="0"/>
      <w:divBdr>
        <w:top w:val="none" w:sz="0" w:space="0" w:color="auto"/>
        <w:left w:val="none" w:sz="0" w:space="0" w:color="auto"/>
        <w:bottom w:val="none" w:sz="0" w:space="0" w:color="auto"/>
        <w:right w:val="none" w:sz="0" w:space="0" w:color="auto"/>
      </w:divBdr>
    </w:div>
    <w:div w:id="675154827">
      <w:bodyDiv w:val="1"/>
      <w:marLeft w:val="0"/>
      <w:marRight w:val="0"/>
      <w:marTop w:val="0"/>
      <w:marBottom w:val="0"/>
      <w:divBdr>
        <w:top w:val="none" w:sz="0" w:space="0" w:color="auto"/>
        <w:left w:val="none" w:sz="0" w:space="0" w:color="auto"/>
        <w:bottom w:val="none" w:sz="0" w:space="0" w:color="auto"/>
        <w:right w:val="none" w:sz="0" w:space="0" w:color="auto"/>
      </w:divBdr>
    </w:div>
    <w:div w:id="682557995">
      <w:bodyDiv w:val="1"/>
      <w:marLeft w:val="0"/>
      <w:marRight w:val="0"/>
      <w:marTop w:val="0"/>
      <w:marBottom w:val="0"/>
      <w:divBdr>
        <w:top w:val="none" w:sz="0" w:space="0" w:color="auto"/>
        <w:left w:val="none" w:sz="0" w:space="0" w:color="auto"/>
        <w:bottom w:val="none" w:sz="0" w:space="0" w:color="auto"/>
        <w:right w:val="none" w:sz="0" w:space="0" w:color="auto"/>
      </w:divBdr>
    </w:div>
    <w:div w:id="695811500">
      <w:bodyDiv w:val="1"/>
      <w:marLeft w:val="0"/>
      <w:marRight w:val="0"/>
      <w:marTop w:val="0"/>
      <w:marBottom w:val="0"/>
      <w:divBdr>
        <w:top w:val="none" w:sz="0" w:space="0" w:color="auto"/>
        <w:left w:val="none" w:sz="0" w:space="0" w:color="auto"/>
        <w:bottom w:val="none" w:sz="0" w:space="0" w:color="auto"/>
        <w:right w:val="none" w:sz="0" w:space="0" w:color="auto"/>
      </w:divBdr>
    </w:div>
    <w:div w:id="697508419">
      <w:bodyDiv w:val="1"/>
      <w:marLeft w:val="0"/>
      <w:marRight w:val="0"/>
      <w:marTop w:val="0"/>
      <w:marBottom w:val="0"/>
      <w:divBdr>
        <w:top w:val="none" w:sz="0" w:space="0" w:color="auto"/>
        <w:left w:val="none" w:sz="0" w:space="0" w:color="auto"/>
        <w:bottom w:val="none" w:sz="0" w:space="0" w:color="auto"/>
        <w:right w:val="none" w:sz="0" w:space="0" w:color="auto"/>
      </w:divBdr>
    </w:div>
    <w:div w:id="719593095">
      <w:bodyDiv w:val="1"/>
      <w:marLeft w:val="0"/>
      <w:marRight w:val="0"/>
      <w:marTop w:val="0"/>
      <w:marBottom w:val="0"/>
      <w:divBdr>
        <w:top w:val="none" w:sz="0" w:space="0" w:color="auto"/>
        <w:left w:val="none" w:sz="0" w:space="0" w:color="auto"/>
        <w:bottom w:val="none" w:sz="0" w:space="0" w:color="auto"/>
        <w:right w:val="none" w:sz="0" w:space="0" w:color="auto"/>
      </w:divBdr>
    </w:div>
    <w:div w:id="754479006">
      <w:bodyDiv w:val="1"/>
      <w:marLeft w:val="0"/>
      <w:marRight w:val="0"/>
      <w:marTop w:val="0"/>
      <w:marBottom w:val="0"/>
      <w:divBdr>
        <w:top w:val="none" w:sz="0" w:space="0" w:color="auto"/>
        <w:left w:val="none" w:sz="0" w:space="0" w:color="auto"/>
        <w:bottom w:val="none" w:sz="0" w:space="0" w:color="auto"/>
        <w:right w:val="none" w:sz="0" w:space="0" w:color="auto"/>
      </w:divBdr>
    </w:div>
    <w:div w:id="783353026">
      <w:bodyDiv w:val="1"/>
      <w:marLeft w:val="0"/>
      <w:marRight w:val="0"/>
      <w:marTop w:val="0"/>
      <w:marBottom w:val="0"/>
      <w:divBdr>
        <w:top w:val="none" w:sz="0" w:space="0" w:color="auto"/>
        <w:left w:val="none" w:sz="0" w:space="0" w:color="auto"/>
        <w:bottom w:val="none" w:sz="0" w:space="0" w:color="auto"/>
        <w:right w:val="none" w:sz="0" w:space="0" w:color="auto"/>
      </w:divBdr>
      <w:divsChild>
        <w:div w:id="651562201">
          <w:marLeft w:val="0"/>
          <w:marRight w:val="0"/>
          <w:marTop w:val="0"/>
          <w:marBottom w:val="0"/>
          <w:divBdr>
            <w:top w:val="none" w:sz="0" w:space="0" w:color="auto"/>
            <w:left w:val="none" w:sz="0" w:space="0" w:color="auto"/>
            <w:bottom w:val="none" w:sz="0" w:space="0" w:color="auto"/>
            <w:right w:val="none" w:sz="0" w:space="0" w:color="auto"/>
          </w:divBdr>
        </w:div>
      </w:divsChild>
    </w:div>
    <w:div w:id="811873764">
      <w:bodyDiv w:val="1"/>
      <w:marLeft w:val="0"/>
      <w:marRight w:val="0"/>
      <w:marTop w:val="0"/>
      <w:marBottom w:val="0"/>
      <w:divBdr>
        <w:top w:val="none" w:sz="0" w:space="0" w:color="auto"/>
        <w:left w:val="none" w:sz="0" w:space="0" w:color="auto"/>
        <w:bottom w:val="none" w:sz="0" w:space="0" w:color="auto"/>
        <w:right w:val="none" w:sz="0" w:space="0" w:color="auto"/>
      </w:divBdr>
    </w:div>
    <w:div w:id="824512415">
      <w:bodyDiv w:val="1"/>
      <w:marLeft w:val="0"/>
      <w:marRight w:val="0"/>
      <w:marTop w:val="0"/>
      <w:marBottom w:val="0"/>
      <w:divBdr>
        <w:top w:val="none" w:sz="0" w:space="0" w:color="auto"/>
        <w:left w:val="none" w:sz="0" w:space="0" w:color="auto"/>
        <w:bottom w:val="none" w:sz="0" w:space="0" w:color="auto"/>
        <w:right w:val="none" w:sz="0" w:space="0" w:color="auto"/>
      </w:divBdr>
    </w:div>
    <w:div w:id="841315437">
      <w:bodyDiv w:val="1"/>
      <w:marLeft w:val="0"/>
      <w:marRight w:val="0"/>
      <w:marTop w:val="0"/>
      <w:marBottom w:val="0"/>
      <w:divBdr>
        <w:top w:val="none" w:sz="0" w:space="0" w:color="auto"/>
        <w:left w:val="none" w:sz="0" w:space="0" w:color="auto"/>
        <w:bottom w:val="none" w:sz="0" w:space="0" w:color="auto"/>
        <w:right w:val="none" w:sz="0" w:space="0" w:color="auto"/>
      </w:divBdr>
    </w:div>
    <w:div w:id="853684883">
      <w:bodyDiv w:val="1"/>
      <w:marLeft w:val="0"/>
      <w:marRight w:val="0"/>
      <w:marTop w:val="0"/>
      <w:marBottom w:val="0"/>
      <w:divBdr>
        <w:top w:val="none" w:sz="0" w:space="0" w:color="auto"/>
        <w:left w:val="none" w:sz="0" w:space="0" w:color="auto"/>
        <w:bottom w:val="none" w:sz="0" w:space="0" w:color="auto"/>
        <w:right w:val="none" w:sz="0" w:space="0" w:color="auto"/>
      </w:divBdr>
    </w:div>
    <w:div w:id="853999871">
      <w:bodyDiv w:val="1"/>
      <w:marLeft w:val="0"/>
      <w:marRight w:val="0"/>
      <w:marTop w:val="0"/>
      <w:marBottom w:val="0"/>
      <w:divBdr>
        <w:top w:val="none" w:sz="0" w:space="0" w:color="auto"/>
        <w:left w:val="none" w:sz="0" w:space="0" w:color="auto"/>
        <w:bottom w:val="none" w:sz="0" w:space="0" w:color="auto"/>
        <w:right w:val="none" w:sz="0" w:space="0" w:color="auto"/>
      </w:divBdr>
    </w:div>
    <w:div w:id="934360826">
      <w:bodyDiv w:val="1"/>
      <w:marLeft w:val="0"/>
      <w:marRight w:val="0"/>
      <w:marTop w:val="0"/>
      <w:marBottom w:val="0"/>
      <w:divBdr>
        <w:top w:val="none" w:sz="0" w:space="0" w:color="auto"/>
        <w:left w:val="none" w:sz="0" w:space="0" w:color="auto"/>
        <w:bottom w:val="none" w:sz="0" w:space="0" w:color="auto"/>
        <w:right w:val="none" w:sz="0" w:space="0" w:color="auto"/>
      </w:divBdr>
    </w:div>
    <w:div w:id="943461448">
      <w:bodyDiv w:val="1"/>
      <w:marLeft w:val="0"/>
      <w:marRight w:val="0"/>
      <w:marTop w:val="0"/>
      <w:marBottom w:val="0"/>
      <w:divBdr>
        <w:top w:val="none" w:sz="0" w:space="0" w:color="auto"/>
        <w:left w:val="none" w:sz="0" w:space="0" w:color="auto"/>
        <w:bottom w:val="none" w:sz="0" w:space="0" w:color="auto"/>
        <w:right w:val="none" w:sz="0" w:space="0" w:color="auto"/>
      </w:divBdr>
    </w:div>
    <w:div w:id="947397316">
      <w:bodyDiv w:val="1"/>
      <w:marLeft w:val="0"/>
      <w:marRight w:val="0"/>
      <w:marTop w:val="0"/>
      <w:marBottom w:val="0"/>
      <w:divBdr>
        <w:top w:val="none" w:sz="0" w:space="0" w:color="auto"/>
        <w:left w:val="none" w:sz="0" w:space="0" w:color="auto"/>
        <w:bottom w:val="none" w:sz="0" w:space="0" w:color="auto"/>
        <w:right w:val="none" w:sz="0" w:space="0" w:color="auto"/>
      </w:divBdr>
    </w:div>
    <w:div w:id="988246346">
      <w:bodyDiv w:val="1"/>
      <w:marLeft w:val="0"/>
      <w:marRight w:val="0"/>
      <w:marTop w:val="0"/>
      <w:marBottom w:val="0"/>
      <w:divBdr>
        <w:top w:val="none" w:sz="0" w:space="0" w:color="auto"/>
        <w:left w:val="none" w:sz="0" w:space="0" w:color="auto"/>
        <w:bottom w:val="none" w:sz="0" w:space="0" w:color="auto"/>
        <w:right w:val="none" w:sz="0" w:space="0" w:color="auto"/>
      </w:divBdr>
    </w:div>
    <w:div w:id="1009721312">
      <w:bodyDiv w:val="1"/>
      <w:marLeft w:val="0"/>
      <w:marRight w:val="0"/>
      <w:marTop w:val="0"/>
      <w:marBottom w:val="0"/>
      <w:divBdr>
        <w:top w:val="none" w:sz="0" w:space="0" w:color="auto"/>
        <w:left w:val="none" w:sz="0" w:space="0" w:color="auto"/>
        <w:bottom w:val="none" w:sz="0" w:space="0" w:color="auto"/>
        <w:right w:val="none" w:sz="0" w:space="0" w:color="auto"/>
      </w:divBdr>
    </w:div>
    <w:div w:id="1034499854">
      <w:bodyDiv w:val="1"/>
      <w:marLeft w:val="0"/>
      <w:marRight w:val="0"/>
      <w:marTop w:val="0"/>
      <w:marBottom w:val="0"/>
      <w:divBdr>
        <w:top w:val="none" w:sz="0" w:space="0" w:color="auto"/>
        <w:left w:val="none" w:sz="0" w:space="0" w:color="auto"/>
        <w:bottom w:val="none" w:sz="0" w:space="0" w:color="auto"/>
        <w:right w:val="none" w:sz="0" w:space="0" w:color="auto"/>
      </w:divBdr>
    </w:div>
    <w:div w:id="1037437353">
      <w:bodyDiv w:val="1"/>
      <w:marLeft w:val="0"/>
      <w:marRight w:val="0"/>
      <w:marTop w:val="0"/>
      <w:marBottom w:val="0"/>
      <w:divBdr>
        <w:top w:val="none" w:sz="0" w:space="0" w:color="auto"/>
        <w:left w:val="none" w:sz="0" w:space="0" w:color="auto"/>
        <w:bottom w:val="none" w:sz="0" w:space="0" w:color="auto"/>
        <w:right w:val="none" w:sz="0" w:space="0" w:color="auto"/>
      </w:divBdr>
    </w:div>
    <w:div w:id="1053583298">
      <w:bodyDiv w:val="1"/>
      <w:marLeft w:val="0"/>
      <w:marRight w:val="0"/>
      <w:marTop w:val="0"/>
      <w:marBottom w:val="0"/>
      <w:divBdr>
        <w:top w:val="none" w:sz="0" w:space="0" w:color="auto"/>
        <w:left w:val="none" w:sz="0" w:space="0" w:color="auto"/>
        <w:bottom w:val="none" w:sz="0" w:space="0" w:color="auto"/>
        <w:right w:val="none" w:sz="0" w:space="0" w:color="auto"/>
      </w:divBdr>
    </w:div>
    <w:div w:id="1064571332">
      <w:bodyDiv w:val="1"/>
      <w:marLeft w:val="0"/>
      <w:marRight w:val="0"/>
      <w:marTop w:val="0"/>
      <w:marBottom w:val="0"/>
      <w:divBdr>
        <w:top w:val="none" w:sz="0" w:space="0" w:color="auto"/>
        <w:left w:val="none" w:sz="0" w:space="0" w:color="auto"/>
        <w:bottom w:val="none" w:sz="0" w:space="0" w:color="auto"/>
        <w:right w:val="none" w:sz="0" w:space="0" w:color="auto"/>
      </w:divBdr>
    </w:div>
    <w:div w:id="1078866255">
      <w:bodyDiv w:val="1"/>
      <w:marLeft w:val="0"/>
      <w:marRight w:val="0"/>
      <w:marTop w:val="0"/>
      <w:marBottom w:val="0"/>
      <w:divBdr>
        <w:top w:val="none" w:sz="0" w:space="0" w:color="auto"/>
        <w:left w:val="none" w:sz="0" w:space="0" w:color="auto"/>
        <w:bottom w:val="none" w:sz="0" w:space="0" w:color="auto"/>
        <w:right w:val="none" w:sz="0" w:space="0" w:color="auto"/>
      </w:divBdr>
    </w:div>
    <w:div w:id="1092701594">
      <w:bodyDiv w:val="1"/>
      <w:marLeft w:val="0"/>
      <w:marRight w:val="0"/>
      <w:marTop w:val="0"/>
      <w:marBottom w:val="0"/>
      <w:divBdr>
        <w:top w:val="none" w:sz="0" w:space="0" w:color="auto"/>
        <w:left w:val="none" w:sz="0" w:space="0" w:color="auto"/>
        <w:bottom w:val="none" w:sz="0" w:space="0" w:color="auto"/>
        <w:right w:val="none" w:sz="0" w:space="0" w:color="auto"/>
      </w:divBdr>
    </w:div>
    <w:div w:id="1093744008">
      <w:bodyDiv w:val="1"/>
      <w:marLeft w:val="0"/>
      <w:marRight w:val="0"/>
      <w:marTop w:val="0"/>
      <w:marBottom w:val="0"/>
      <w:divBdr>
        <w:top w:val="none" w:sz="0" w:space="0" w:color="auto"/>
        <w:left w:val="none" w:sz="0" w:space="0" w:color="auto"/>
        <w:bottom w:val="none" w:sz="0" w:space="0" w:color="auto"/>
        <w:right w:val="none" w:sz="0" w:space="0" w:color="auto"/>
      </w:divBdr>
    </w:div>
    <w:div w:id="1107963616">
      <w:bodyDiv w:val="1"/>
      <w:marLeft w:val="0"/>
      <w:marRight w:val="0"/>
      <w:marTop w:val="0"/>
      <w:marBottom w:val="0"/>
      <w:divBdr>
        <w:top w:val="none" w:sz="0" w:space="0" w:color="auto"/>
        <w:left w:val="none" w:sz="0" w:space="0" w:color="auto"/>
        <w:bottom w:val="none" w:sz="0" w:space="0" w:color="auto"/>
        <w:right w:val="none" w:sz="0" w:space="0" w:color="auto"/>
      </w:divBdr>
    </w:div>
    <w:div w:id="1112093891">
      <w:bodyDiv w:val="1"/>
      <w:marLeft w:val="0"/>
      <w:marRight w:val="0"/>
      <w:marTop w:val="0"/>
      <w:marBottom w:val="0"/>
      <w:divBdr>
        <w:top w:val="none" w:sz="0" w:space="0" w:color="auto"/>
        <w:left w:val="none" w:sz="0" w:space="0" w:color="auto"/>
        <w:bottom w:val="none" w:sz="0" w:space="0" w:color="auto"/>
        <w:right w:val="none" w:sz="0" w:space="0" w:color="auto"/>
      </w:divBdr>
    </w:div>
    <w:div w:id="1113745483">
      <w:bodyDiv w:val="1"/>
      <w:marLeft w:val="0"/>
      <w:marRight w:val="0"/>
      <w:marTop w:val="0"/>
      <w:marBottom w:val="0"/>
      <w:divBdr>
        <w:top w:val="none" w:sz="0" w:space="0" w:color="auto"/>
        <w:left w:val="none" w:sz="0" w:space="0" w:color="auto"/>
        <w:bottom w:val="none" w:sz="0" w:space="0" w:color="auto"/>
        <w:right w:val="none" w:sz="0" w:space="0" w:color="auto"/>
      </w:divBdr>
    </w:div>
    <w:div w:id="1127702909">
      <w:bodyDiv w:val="1"/>
      <w:marLeft w:val="0"/>
      <w:marRight w:val="0"/>
      <w:marTop w:val="0"/>
      <w:marBottom w:val="0"/>
      <w:divBdr>
        <w:top w:val="none" w:sz="0" w:space="0" w:color="auto"/>
        <w:left w:val="none" w:sz="0" w:space="0" w:color="auto"/>
        <w:bottom w:val="none" w:sz="0" w:space="0" w:color="auto"/>
        <w:right w:val="none" w:sz="0" w:space="0" w:color="auto"/>
      </w:divBdr>
    </w:div>
    <w:div w:id="1145052361">
      <w:bodyDiv w:val="1"/>
      <w:marLeft w:val="0"/>
      <w:marRight w:val="0"/>
      <w:marTop w:val="0"/>
      <w:marBottom w:val="0"/>
      <w:divBdr>
        <w:top w:val="none" w:sz="0" w:space="0" w:color="auto"/>
        <w:left w:val="none" w:sz="0" w:space="0" w:color="auto"/>
        <w:bottom w:val="none" w:sz="0" w:space="0" w:color="auto"/>
        <w:right w:val="none" w:sz="0" w:space="0" w:color="auto"/>
      </w:divBdr>
    </w:div>
    <w:div w:id="1164128375">
      <w:bodyDiv w:val="1"/>
      <w:marLeft w:val="0"/>
      <w:marRight w:val="0"/>
      <w:marTop w:val="0"/>
      <w:marBottom w:val="0"/>
      <w:divBdr>
        <w:top w:val="none" w:sz="0" w:space="0" w:color="auto"/>
        <w:left w:val="none" w:sz="0" w:space="0" w:color="auto"/>
        <w:bottom w:val="none" w:sz="0" w:space="0" w:color="auto"/>
        <w:right w:val="none" w:sz="0" w:space="0" w:color="auto"/>
      </w:divBdr>
    </w:div>
    <w:div w:id="1166020877">
      <w:bodyDiv w:val="1"/>
      <w:marLeft w:val="0"/>
      <w:marRight w:val="0"/>
      <w:marTop w:val="0"/>
      <w:marBottom w:val="0"/>
      <w:divBdr>
        <w:top w:val="none" w:sz="0" w:space="0" w:color="auto"/>
        <w:left w:val="none" w:sz="0" w:space="0" w:color="auto"/>
        <w:bottom w:val="none" w:sz="0" w:space="0" w:color="auto"/>
        <w:right w:val="none" w:sz="0" w:space="0" w:color="auto"/>
      </w:divBdr>
    </w:div>
    <w:div w:id="1167987129">
      <w:bodyDiv w:val="1"/>
      <w:marLeft w:val="0"/>
      <w:marRight w:val="0"/>
      <w:marTop w:val="0"/>
      <w:marBottom w:val="0"/>
      <w:divBdr>
        <w:top w:val="none" w:sz="0" w:space="0" w:color="auto"/>
        <w:left w:val="none" w:sz="0" w:space="0" w:color="auto"/>
        <w:bottom w:val="none" w:sz="0" w:space="0" w:color="auto"/>
        <w:right w:val="none" w:sz="0" w:space="0" w:color="auto"/>
      </w:divBdr>
    </w:div>
    <w:div w:id="1193685561">
      <w:bodyDiv w:val="1"/>
      <w:marLeft w:val="0"/>
      <w:marRight w:val="0"/>
      <w:marTop w:val="0"/>
      <w:marBottom w:val="0"/>
      <w:divBdr>
        <w:top w:val="none" w:sz="0" w:space="0" w:color="auto"/>
        <w:left w:val="none" w:sz="0" w:space="0" w:color="auto"/>
        <w:bottom w:val="none" w:sz="0" w:space="0" w:color="auto"/>
        <w:right w:val="none" w:sz="0" w:space="0" w:color="auto"/>
      </w:divBdr>
    </w:div>
    <w:div w:id="1219054008">
      <w:bodyDiv w:val="1"/>
      <w:marLeft w:val="0"/>
      <w:marRight w:val="0"/>
      <w:marTop w:val="0"/>
      <w:marBottom w:val="0"/>
      <w:divBdr>
        <w:top w:val="none" w:sz="0" w:space="0" w:color="auto"/>
        <w:left w:val="none" w:sz="0" w:space="0" w:color="auto"/>
        <w:bottom w:val="none" w:sz="0" w:space="0" w:color="auto"/>
        <w:right w:val="none" w:sz="0" w:space="0" w:color="auto"/>
      </w:divBdr>
    </w:div>
    <w:div w:id="1244412148">
      <w:bodyDiv w:val="1"/>
      <w:marLeft w:val="0"/>
      <w:marRight w:val="0"/>
      <w:marTop w:val="0"/>
      <w:marBottom w:val="0"/>
      <w:divBdr>
        <w:top w:val="none" w:sz="0" w:space="0" w:color="auto"/>
        <w:left w:val="none" w:sz="0" w:space="0" w:color="auto"/>
        <w:bottom w:val="none" w:sz="0" w:space="0" w:color="auto"/>
        <w:right w:val="none" w:sz="0" w:space="0" w:color="auto"/>
      </w:divBdr>
    </w:div>
    <w:div w:id="1261986722">
      <w:bodyDiv w:val="1"/>
      <w:marLeft w:val="0"/>
      <w:marRight w:val="0"/>
      <w:marTop w:val="0"/>
      <w:marBottom w:val="0"/>
      <w:divBdr>
        <w:top w:val="none" w:sz="0" w:space="0" w:color="auto"/>
        <w:left w:val="none" w:sz="0" w:space="0" w:color="auto"/>
        <w:bottom w:val="none" w:sz="0" w:space="0" w:color="auto"/>
        <w:right w:val="none" w:sz="0" w:space="0" w:color="auto"/>
      </w:divBdr>
    </w:div>
    <w:div w:id="1263417070">
      <w:bodyDiv w:val="1"/>
      <w:marLeft w:val="0"/>
      <w:marRight w:val="0"/>
      <w:marTop w:val="0"/>
      <w:marBottom w:val="0"/>
      <w:divBdr>
        <w:top w:val="none" w:sz="0" w:space="0" w:color="auto"/>
        <w:left w:val="none" w:sz="0" w:space="0" w:color="auto"/>
        <w:bottom w:val="none" w:sz="0" w:space="0" w:color="auto"/>
        <w:right w:val="none" w:sz="0" w:space="0" w:color="auto"/>
      </w:divBdr>
    </w:div>
    <w:div w:id="1265191257">
      <w:bodyDiv w:val="1"/>
      <w:marLeft w:val="0"/>
      <w:marRight w:val="0"/>
      <w:marTop w:val="0"/>
      <w:marBottom w:val="0"/>
      <w:divBdr>
        <w:top w:val="none" w:sz="0" w:space="0" w:color="auto"/>
        <w:left w:val="none" w:sz="0" w:space="0" w:color="auto"/>
        <w:bottom w:val="none" w:sz="0" w:space="0" w:color="auto"/>
        <w:right w:val="none" w:sz="0" w:space="0" w:color="auto"/>
      </w:divBdr>
    </w:div>
    <w:div w:id="1267039102">
      <w:bodyDiv w:val="1"/>
      <w:marLeft w:val="0"/>
      <w:marRight w:val="0"/>
      <w:marTop w:val="0"/>
      <w:marBottom w:val="0"/>
      <w:divBdr>
        <w:top w:val="none" w:sz="0" w:space="0" w:color="auto"/>
        <w:left w:val="none" w:sz="0" w:space="0" w:color="auto"/>
        <w:bottom w:val="none" w:sz="0" w:space="0" w:color="auto"/>
        <w:right w:val="none" w:sz="0" w:space="0" w:color="auto"/>
      </w:divBdr>
    </w:div>
    <w:div w:id="1267423422">
      <w:bodyDiv w:val="1"/>
      <w:marLeft w:val="0"/>
      <w:marRight w:val="0"/>
      <w:marTop w:val="0"/>
      <w:marBottom w:val="0"/>
      <w:divBdr>
        <w:top w:val="none" w:sz="0" w:space="0" w:color="auto"/>
        <w:left w:val="none" w:sz="0" w:space="0" w:color="auto"/>
        <w:bottom w:val="none" w:sz="0" w:space="0" w:color="auto"/>
        <w:right w:val="none" w:sz="0" w:space="0" w:color="auto"/>
      </w:divBdr>
    </w:div>
    <w:div w:id="1288586514">
      <w:bodyDiv w:val="1"/>
      <w:marLeft w:val="0"/>
      <w:marRight w:val="0"/>
      <w:marTop w:val="0"/>
      <w:marBottom w:val="0"/>
      <w:divBdr>
        <w:top w:val="none" w:sz="0" w:space="0" w:color="auto"/>
        <w:left w:val="none" w:sz="0" w:space="0" w:color="auto"/>
        <w:bottom w:val="none" w:sz="0" w:space="0" w:color="auto"/>
        <w:right w:val="none" w:sz="0" w:space="0" w:color="auto"/>
      </w:divBdr>
    </w:div>
    <w:div w:id="1310134230">
      <w:bodyDiv w:val="1"/>
      <w:marLeft w:val="0"/>
      <w:marRight w:val="0"/>
      <w:marTop w:val="0"/>
      <w:marBottom w:val="0"/>
      <w:divBdr>
        <w:top w:val="none" w:sz="0" w:space="0" w:color="auto"/>
        <w:left w:val="none" w:sz="0" w:space="0" w:color="auto"/>
        <w:bottom w:val="none" w:sz="0" w:space="0" w:color="auto"/>
        <w:right w:val="none" w:sz="0" w:space="0" w:color="auto"/>
      </w:divBdr>
    </w:div>
    <w:div w:id="1343817804">
      <w:bodyDiv w:val="1"/>
      <w:marLeft w:val="0"/>
      <w:marRight w:val="0"/>
      <w:marTop w:val="0"/>
      <w:marBottom w:val="0"/>
      <w:divBdr>
        <w:top w:val="none" w:sz="0" w:space="0" w:color="auto"/>
        <w:left w:val="none" w:sz="0" w:space="0" w:color="auto"/>
        <w:bottom w:val="none" w:sz="0" w:space="0" w:color="auto"/>
        <w:right w:val="none" w:sz="0" w:space="0" w:color="auto"/>
      </w:divBdr>
    </w:div>
    <w:div w:id="1366448224">
      <w:bodyDiv w:val="1"/>
      <w:marLeft w:val="0"/>
      <w:marRight w:val="0"/>
      <w:marTop w:val="0"/>
      <w:marBottom w:val="0"/>
      <w:divBdr>
        <w:top w:val="none" w:sz="0" w:space="0" w:color="auto"/>
        <w:left w:val="none" w:sz="0" w:space="0" w:color="auto"/>
        <w:bottom w:val="none" w:sz="0" w:space="0" w:color="auto"/>
        <w:right w:val="none" w:sz="0" w:space="0" w:color="auto"/>
      </w:divBdr>
    </w:div>
    <w:div w:id="1370493975">
      <w:bodyDiv w:val="1"/>
      <w:marLeft w:val="0"/>
      <w:marRight w:val="0"/>
      <w:marTop w:val="0"/>
      <w:marBottom w:val="0"/>
      <w:divBdr>
        <w:top w:val="none" w:sz="0" w:space="0" w:color="auto"/>
        <w:left w:val="none" w:sz="0" w:space="0" w:color="auto"/>
        <w:bottom w:val="none" w:sz="0" w:space="0" w:color="auto"/>
        <w:right w:val="none" w:sz="0" w:space="0" w:color="auto"/>
      </w:divBdr>
    </w:div>
    <w:div w:id="1393499371">
      <w:bodyDiv w:val="1"/>
      <w:marLeft w:val="0"/>
      <w:marRight w:val="0"/>
      <w:marTop w:val="0"/>
      <w:marBottom w:val="0"/>
      <w:divBdr>
        <w:top w:val="none" w:sz="0" w:space="0" w:color="auto"/>
        <w:left w:val="none" w:sz="0" w:space="0" w:color="auto"/>
        <w:bottom w:val="none" w:sz="0" w:space="0" w:color="auto"/>
        <w:right w:val="none" w:sz="0" w:space="0" w:color="auto"/>
      </w:divBdr>
    </w:div>
    <w:div w:id="1400246878">
      <w:bodyDiv w:val="1"/>
      <w:marLeft w:val="0"/>
      <w:marRight w:val="0"/>
      <w:marTop w:val="0"/>
      <w:marBottom w:val="0"/>
      <w:divBdr>
        <w:top w:val="none" w:sz="0" w:space="0" w:color="auto"/>
        <w:left w:val="none" w:sz="0" w:space="0" w:color="auto"/>
        <w:bottom w:val="none" w:sz="0" w:space="0" w:color="auto"/>
        <w:right w:val="none" w:sz="0" w:space="0" w:color="auto"/>
      </w:divBdr>
    </w:div>
    <w:div w:id="1433629696">
      <w:bodyDiv w:val="1"/>
      <w:marLeft w:val="0"/>
      <w:marRight w:val="0"/>
      <w:marTop w:val="0"/>
      <w:marBottom w:val="0"/>
      <w:divBdr>
        <w:top w:val="none" w:sz="0" w:space="0" w:color="auto"/>
        <w:left w:val="none" w:sz="0" w:space="0" w:color="auto"/>
        <w:bottom w:val="none" w:sz="0" w:space="0" w:color="auto"/>
        <w:right w:val="none" w:sz="0" w:space="0" w:color="auto"/>
      </w:divBdr>
    </w:div>
    <w:div w:id="1474255096">
      <w:bodyDiv w:val="1"/>
      <w:marLeft w:val="0"/>
      <w:marRight w:val="0"/>
      <w:marTop w:val="0"/>
      <w:marBottom w:val="0"/>
      <w:divBdr>
        <w:top w:val="none" w:sz="0" w:space="0" w:color="auto"/>
        <w:left w:val="none" w:sz="0" w:space="0" w:color="auto"/>
        <w:bottom w:val="none" w:sz="0" w:space="0" w:color="auto"/>
        <w:right w:val="none" w:sz="0" w:space="0" w:color="auto"/>
      </w:divBdr>
    </w:div>
    <w:div w:id="1487043183">
      <w:bodyDiv w:val="1"/>
      <w:marLeft w:val="0"/>
      <w:marRight w:val="0"/>
      <w:marTop w:val="0"/>
      <w:marBottom w:val="0"/>
      <w:divBdr>
        <w:top w:val="none" w:sz="0" w:space="0" w:color="auto"/>
        <w:left w:val="none" w:sz="0" w:space="0" w:color="auto"/>
        <w:bottom w:val="none" w:sz="0" w:space="0" w:color="auto"/>
        <w:right w:val="none" w:sz="0" w:space="0" w:color="auto"/>
      </w:divBdr>
    </w:div>
    <w:div w:id="1518083495">
      <w:bodyDiv w:val="1"/>
      <w:marLeft w:val="0"/>
      <w:marRight w:val="0"/>
      <w:marTop w:val="0"/>
      <w:marBottom w:val="0"/>
      <w:divBdr>
        <w:top w:val="none" w:sz="0" w:space="0" w:color="auto"/>
        <w:left w:val="none" w:sz="0" w:space="0" w:color="auto"/>
        <w:bottom w:val="none" w:sz="0" w:space="0" w:color="auto"/>
        <w:right w:val="none" w:sz="0" w:space="0" w:color="auto"/>
      </w:divBdr>
    </w:div>
    <w:div w:id="1520192786">
      <w:bodyDiv w:val="1"/>
      <w:marLeft w:val="0"/>
      <w:marRight w:val="0"/>
      <w:marTop w:val="0"/>
      <w:marBottom w:val="0"/>
      <w:divBdr>
        <w:top w:val="none" w:sz="0" w:space="0" w:color="auto"/>
        <w:left w:val="none" w:sz="0" w:space="0" w:color="auto"/>
        <w:bottom w:val="none" w:sz="0" w:space="0" w:color="auto"/>
        <w:right w:val="none" w:sz="0" w:space="0" w:color="auto"/>
      </w:divBdr>
    </w:div>
    <w:div w:id="1537431307">
      <w:bodyDiv w:val="1"/>
      <w:marLeft w:val="0"/>
      <w:marRight w:val="0"/>
      <w:marTop w:val="0"/>
      <w:marBottom w:val="0"/>
      <w:divBdr>
        <w:top w:val="none" w:sz="0" w:space="0" w:color="auto"/>
        <w:left w:val="none" w:sz="0" w:space="0" w:color="auto"/>
        <w:bottom w:val="none" w:sz="0" w:space="0" w:color="auto"/>
        <w:right w:val="none" w:sz="0" w:space="0" w:color="auto"/>
      </w:divBdr>
    </w:div>
    <w:div w:id="1540359854">
      <w:bodyDiv w:val="1"/>
      <w:marLeft w:val="0"/>
      <w:marRight w:val="0"/>
      <w:marTop w:val="0"/>
      <w:marBottom w:val="0"/>
      <w:divBdr>
        <w:top w:val="none" w:sz="0" w:space="0" w:color="auto"/>
        <w:left w:val="none" w:sz="0" w:space="0" w:color="auto"/>
        <w:bottom w:val="none" w:sz="0" w:space="0" w:color="auto"/>
        <w:right w:val="none" w:sz="0" w:space="0" w:color="auto"/>
      </w:divBdr>
    </w:div>
    <w:div w:id="1544901602">
      <w:bodyDiv w:val="1"/>
      <w:marLeft w:val="0"/>
      <w:marRight w:val="0"/>
      <w:marTop w:val="0"/>
      <w:marBottom w:val="0"/>
      <w:divBdr>
        <w:top w:val="none" w:sz="0" w:space="0" w:color="auto"/>
        <w:left w:val="none" w:sz="0" w:space="0" w:color="auto"/>
        <w:bottom w:val="none" w:sz="0" w:space="0" w:color="auto"/>
        <w:right w:val="none" w:sz="0" w:space="0" w:color="auto"/>
      </w:divBdr>
    </w:div>
    <w:div w:id="1569920513">
      <w:bodyDiv w:val="1"/>
      <w:marLeft w:val="0"/>
      <w:marRight w:val="0"/>
      <w:marTop w:val="0"/>
      <w:marBottom w:val="0"/>
      <w:divBdr>
        <w:top w:val="none" w:sz="0" w:space="0" w:color="auto"/>
        <w:left w:val="none" w:sz="0" w:space="0" w:color="auto"/>
        <w:bottom w:val="none" w:sz="0" w:space="0" w:color="auto"/>
        <w:right w:val="none" w:sz="0" w:space="0" w:color="auto"/>
      </w:divBdr>
    </w:div>
    <w:div w:id="1572735101">
      <w:bodyDiv w:val="1"/>
      <w:marLeft w:val="0"/>
      <w:marRight w:val="0"/>
      <w:marTop w:val="0"/>
      <w:marBottom w:val="0"/>
      <w:divBdr>
        <w:top w:val="none" w:sz="0" w:space="0" w:color="auto"/>
        <w:left w:val="none" w:sz="0" w:space="0" w:color="auto"/>
        <w:bottom w:val="none" w:sz="0" w:space="0" w:color="auto"/>
        <w:right w:val="none" w:sz="0" w:space="0" w:color="auto"/>
      </w:divBdr>
    </w:div>
    <w:div w:id="1583374472">
      <w:bodyDiv w:val="1"/>
      <w:marLeft w:val="0"/>
      <w:marRight w:val="0"/>
      <w:marTop w:val="0"/>
      <w:marBottom w:val="0"/>
      <w:divBdr>
        <w:top w:val="none" w:sz="0" w:space="0" w:color="auto"/>
        <w:left w:val="none" w:sz="0" w:space="0" w:color="auto"/>
        <w:bottom w:val="none" w:sz="0" w:space="0" w:color="auto"/>
        <w:right w:val="none" w:sz="0" w:space="0" w:color="auto"/>
      </w:divBdr>
    </w:div>
    <w:div w:id="1615284258">
      <w:bodyDiv w:val="1"/>
      <w:marLeft w:val="0"/>
      <w:marRight w:val="0"/>
      <w:marTop w:val="0"/>
      <w:marBottom w:val="0"/>
      <w:divBdr>
        <w:top w:val="none" w:sz="0" w:space="0" w:color="auto"/>
        <w:left w:val="none" w:sz="0" w:space="0" w:color="auto"/>
        <w:bottom w:val="none" w:sz="0" w:space="0" w:color="auto"/>
        <w:right w:val="none" w:sz="0" w:space="0" w:color="auto"/>
      </w:divBdr>
      <w:divsChild>
        <w:div w:id="730883302">
          <w:marLeft w:val="0"/>
          <w:marRight w:val="0"/>
          <w:marTop w:val="0"/>
          <w:marBottom w:val="0"/>
          <w:divBdr>
            <w:top w:val="none" w:sz="0" w:space="0" w:color="auto"/>
            <w:left w:val="none" w:sz="0" w:space="0" w:color="auto"/>
            <w:bottom w:val="none" w:sz="0" w:space="0" w:color="auto"/>
            <w:right w:val="none" w:sz="0" w:space="0" w:color="auto"/>
          </w:divBdr>
        </w:div>
        <w:div w:id="1796754696">
          <w:marLeft w:val="0"/>
          <w:marRight w:val="0"/>
          <w:marTop w:val="0"/>
          <w:marBottom w:val="0"/>
          <w:divBdr>
            <w:top w:val="none" w:sz="0" w:space="0" w:color="auto"/>
            <w:left w:val="none" w:sz="0" w:space="0" w:color="auto"/>
            <w:bottom w:val="none" w:sz="0" w:space="0" w:color="auto"/>
            <w:right w:val="none" w:sz="0" w:space="0" w:color="auto"/>
          </w:divBdr>
        </w:div>
        <w:div w:id="1398281954">
          <w:marLeft w:val="0"/>
          <w:marRight w:val="0"/>
          <w:marTop w:val="0"/>
          <w:marBottom w:val="0"/>
          <w:divBdr>
            <w:top w:val="none" w:sz="0" w:space="0" w:color="auto"/>
            <w:left w:val="none" w:sz="0" w:space="0" w:color="auto"/>
            <w:bottom w:val="none" w:sz="0" w:space="0" w:color="auto"/>
            <w:right w:val="none" w:sz="0" w:space="0" w:color="auto"/>
          </w:divBdr>
        </w:div>
        <w:div w:id="1885213705">
          <w:marLeft w:val="0"/>
          <w:marRight w:val="0"/>
          <w:marTop w:val="0"/>
          <w:marBottom w:val="0"/>
          <w:divBdr>
            <w:top w:val="none" w:sz="0" w:space="0" w:color="auto"/>
            <w:left w:val="none" w:sz="0" w:space="0" w:color="auto"/>
            <w:bottom w:val="none" w:sz="0" w:space="0" w:color="auto"/>
            <w:right w:val="none" w:sz="0" w:space="0" w:color="auto"/>
          </w:divBdr>
        </w:div>
        <w:div w:id="1028289612">
          <w:marLeft w:val="0"/>
          <w:marRight w:val="0"/>
          <w:marTop w:val="0"/>
          <w:marBottom w:val="0"/>
          <w:divBdr>
            <w:top w:val="none" w:sz="0" w:space="0" w:color="auto"/>
            <w:left w:val="none" w:sz="0" w:space="0" w:color="auto"/>
            <w:bottom w:val="none" w:sz="0" w:space="0" w:color="auto"/>
            <w:right w:val="none" w:sz="0" w:space="0" w:color="auto"/>
          </w:divBdr>
        </w:div>
        <w:div w:id="906917795">
          <w:marLeft w:val="0"/>
          <w:marRight w:val="0"/>
          <w:marTop w:val="0"/>
          <w:marBottom w:val="0"/>
          <w:divBdr>
            <w:top w:val="none" w:sz="0" w:space="0" w:color="auto"/>
            <w:left w:val="none" w:sz="0" w:space="0" w:color="auto"/>
            <w:bottom w:val="none" w:sz="0" w:space="0" w:color="auto"/>
            <w:right w:val="none" w:sz="0" w:space="0" w:color="auto"/>
          </w:divBdr>
        </w:div>
        <w:div w:id="1520578796">
          <w:marLeft w:val="0"/>
          <w:marRight w:val="0"/>
          <w:marTop w:val="0"/>
          <w:marBottom w:val="0"/>
          <w:divBdr>
            <w:top w:val="none" w:sz="0" w:space="0" w:color="auto"/>
            <w:left w:val="none" w:sz="0" w:space="0" w:color="auto"/>
            <w:bottom w:val="none" w:sz="0" w:space="0" w:color="auto"/>
            <w:right w:val="none" w:sz="0" w:space="0" w:color="auto"/>
          </w:divBdr>
        </w:div>
      </w:divsChild>
    </w:div>
    <w:div w:id="1615601164">
      <w:bodyDiv w:val="1"/>
      <w:marLeft w:val="0"/>
      <w:marRight w:val="0"/>
      <w:marTop w:val="0"/>
      <w:marBottom w:val="0"/>
      <w:divBdr>
        <w:top w:val="none" w:sz="0" w:space="0" w:color="auto"/>
        <w:left w:val="none" w:sz="0" w:space="0" w:color="auto"/>
        <w:bottom w:val="none" w:sz="0" w:space="0" w:color="auto"/>
        <w:right w:val="none" w:sz="0" w:space="0" w:color="auto"/>
      </w:divBdr>
    </w:div>
    <w:div w:id="1630814993">
      <w:bodyDiv w:val="1"/>
      <w:marLeft w:val="0"/>
      <w:marRight w:val="0"/>
      <w:marTop w:val="0"/>
      <w:marBottom w:val="0"/>
      <w:divBdr>
        <w:top w:val="none" w:sz="0" w:space="0" w:color="auto"/>
        <w:left w:val="none" w:sz="0" w:space="0" w:color="auto"/>
        <w:bottom w:val="none" w:sz="0" w:space="0" w:color="auto"/>
        <w:right w:val="none" w:sz="0" w:space="0" w:color="auto"/>
      </w:divBdr>
    </w:div>
    <w:div w:id="1666081083">
      <w:bodyDiv w:val="1"/>
      <w:marLeft w:val="0"/>
      <w:marRight w:val="0"/>
      <w:marTop w:val="0"/>
      <w:marBottom w:val="0"/>
      <w:divBdr>
        <w:top w:val="none" w:sz="0" w:space="0" w:color="auto"/>
        <w:left w:val="none" w:sz="0" w:space="0" w:color="auto"/>
        <w:bottom w:val="none" w:sz="0" w:space="0" w:color="auto"/>
        <w:right w:val="none" w:sz="0" w:space="0" w:color="auto"/>
      </w:divBdr>
    </w:div>
    <w:div w:id="1667588968">
      <w:bodyDiv w:val="1"/>
      <w:marLeft w:val="0"/>
      <w:marRight w:val="0"/>
      <w:marTop w:val="0"/>
      <w:marBottom w:val="0"/>
      <w:divBdr>
        <w:top w:val="none" w:sz="0" w:space="0" w:color="auto"/>
        <w:left w:val="none" w:sz="0" w:space="0" w:color="auto"/>
        <w:bottom w:val="none" w:sz="0" w:space="0" w:color="auto"/>
        <w:right w:val="none" w:sz="0" w:space="0" w:color="auto"/>
      </w:divBdr>
    </w:div>
    <w:div w:id="1688633013">
      <w:bodyDiv w:val="1"/>
      <w:marLeft w:val="0"/>
      <w:marRight w:val="0"/>
      <w:marTop w:val="0"/>
      <w:marBottom w:val="0"/>
      <w:divBdr>
        <w:top w:val="none" w:sz="0" w:space="0" w:color="auto"/>
        <w:left w:val="none" w:sz="0" w:space="0" w:color="auto"/>
        <w:bottom w:val="none" w:sz="0" w:space="0" w:color="auto"/>
        <w:right w:val="none" w:sz="0" w:space="0" w:color="auto"/>
      </w:divBdr>
    </w:div>
    <w:div w:id="1704283144">
      <w:bodyDiv w:val="1"/>
      <w:marLeft w:val="0"/>
      <w:marRight w:val="0"/>
      <w:marTop w:val="0"/>
      <w:marBottom w:val="0"/>
      <w:divBdr>
        <w:top w:val="none" w:sz="0" w:space="0" w:color="auto"/>
        <w:left w:val="none" w:sz="0" w:space="0" w:color="auto"/>
        <w:bottom w:val="none" w:sz="0" w:space="0" w:color="auto"/>
        <w:right w:val="none" w:sz="0" w:space="0" w:color="auto"/>
      </w:divBdr>
    </w:div>
    <w:div w:id="1705132536">
      <w:bodyDiv w:val="1"/>
      <w:marLeft w:val="0"/>
      <w:marRight w:val="0"/>
      <w:marTop w:val="0"/>
      <w:marBottom w:val="0"/>
      <w:divBdr>
        <w:top w:val="none" w:sz="0" w:space="0" w:color="auto"/>
        <w:left w:val="none" w:sz="0" w:space="0" w:color="auto"/>
        <w:bottom w:val="none" w:sz="0" w:space="0" w:color="auto"/>
        <w:right w:val="none" w:sz="0" w:space="0" w:color="auto"/>
      </w:divBdr>
    </w:div>
    <w:div w:id="1708331178">
      <w:bodyDiv w:val="1"/>
      <w:marLeft w:val="0"/>
      <w:marRight w:val="0"/>
      <w:marTop w:val="0"/>
      <w:marBottom w:val="0"/>
      <w:divBdr>
        <w:top w:val="none" w:sz="0" w:space="0" w:color="auto"/>
        <w:left w:val="none" w:sz="0" w:space="0" w:color="auto"/>
        <w:bottom w:val="none" w:sz="0" w:space="0" w:color="auto"/>
        <w:right w:val="none" w:sz="0" w:space="0" w:color="auto"/>
      </w:divBdr>
    </w:div>
    <w:div w:id="1731076143">
      <w:bodyDiv w:val="1"/>
      <w:marLeft w:val="0"/>
      <w:marRight w:val="0"/>
      <w:marTop w:val="0"/>
      <w:marBottom w:val="0"/>
      <w:divBdr>
        <w:top w:val="none" w:sz="0" w:space="0" w:color="auto"/>
        <w:left w:val="none" w:sz="0" w:space="0" w:color="auto"/>
        <w:bottom w:val="none" w:sz="0" w:space="0" w:color="auto"/>
        <w:right w:val="none" w:sz="0" w:space="0" w:color="auto"/>
      </w:divBdr>
    </w:div>
    <w:div w:id="1735155222">
      <w:bodyDiv w:val="1"/>
      <w:marLeft w:val="0"/>
      <w:marRight w:val="0"/>
      <w:marTop w:val="0"/>
      <w:marBottom w:val="0"/>
      <w:divBdr>
        <w:top w:val="none" w:sz="0" w:space="0" w:color="auto"/>
        <w:left w:val="none" w:sz="0" w:space="0" w:color="auto"/>
        <w:bottom w:val="none" w:sz="0" w:space="0" w:color="auto"/>
        <w:right w:val="none" w:sz="0" w:space="0" w:color="auto"/>
      </w:divBdr>
    </w:div>
    <w:div w:id="1736391117">
      <w:bodyDiv w:val="1"/>
      <w:marLeft w:val="0"/>
      <w:marRight w:val="0"/>
      <w:marTop w:val="0"/>
      <w:marBottom w:val="0"/>
      <w:divBdr>
        <w:top w:val="none" w:sz="0" w:space="0" w:color="auto"/>
        <w:left w:val="none" w:sz="0" w:space="0" w:color="auto"/>
        <w:bottom w:val="none" w:sz="0" w:space="0" w:color="auto"/>
        <w:right w:val="none" w:sz="0" w:space="0" w:color="auto"/>
      </w:divBdr>
    </w:div>
    <w:div w:id="1740639272">
      <w:bodyDiv w:val="1"/>
      <w:marLeft w:val="0"/>
      <w:marRight w:val="0"/>
      <w:marTop w:val="0"/>
      <w:marBottom w:val="0"/>
      <w:divBdr>
        <w:top w:val="none" w:sz="0" w:space="0" w:color="auto"/>
        <w:left w:val="none" w:sz="0" w:space="0" w:color="auto"/>
        <w:bottom w:val="none" w:sz="0" w:space="0" w:color="auto"/>
        <w:right w:val="none" w:sz="0" w:space="0" w:color="auto"/>
      </w:divBdr>
    </w:div>
    <w:div w:id="1741633655">
      <w:bodyDiv w:val="1"/>
      <w:marLeft w:val="0"/>
      <w:marRight w:val="0"/>
      <w:marTop w:val="0"/>
      <w:marBottom w:val="0"/>
      <w:divBdr>
        <w:top w:val="none" w:sz="0" w:space="0" w:color="auto"/>
        <w:left w:val="none" w:sz="0" w:space="0" w:color="auto"/>
        <w:bottom w:val="none" w:sz="0" w:space="0" w:color="auto"/>
        <w:right w:val="none" w:sz="0" w:space="0" w:color="auto"/>
      </w:divBdr>
    </w:div>
    <w:div w:id="1742558393">
      <w:bodyDiv w:val="1"/>
      <w:marLeft w:val="0"/>
      <w:marRight w:val="0"/>
      <w:marTop w:val="0"/>
      <w:marBottom w:val="0"/>
      <w:divBdr>
        <w:top w:val="none" w:sz="0" w:space="0" w:color="auto"/>
        <w:left w:val="none" w:sz="0" w:space="0" w:color="auto"/>
        <w:bottom w:val="none" w:sz="0" w:space="0" w:color="auto"/>
        <w:right w:val="none" w:sz="0" w:space="0" w:color="auto"/>
      </w:divBdr>
    </w:div>
    <w:div w:id="1754011097">
      <w:bodyDiv w:val="1"/>
      <w:marLeft w:val="0"/>
      <w:marRight w:val="0"/>
      <w:marTop w:val="0"/>
      <w:marBottom w:val="0"/>
      <w:divBdr>
        <w:top w:val="none" w:sz="0" w:space="0" w:color="auto"/>
        <w:left w:val="none" w:sz="0" w:space="0" w:color="auto"/>
        <w:bottom w:val="none" w:sz="0" w:space="0" w:color="auto"/>
        <w:right w:val="none" w:sz="0" w:space="0" w:color="auto"/>
      </w:divBdr>
    </w:div>
    <w:div w:id="1772239076">
      <w:bodyDiv w:val="1"/>
      <w:marLeft w:val="0"/>
      <w:marRight w:val="0"/>
      <w:marTop w:val="0"/>
      <w:marBottom w:val="0"/>
      <w:divBdr>
        <w:top w:val="none" w:sz="0" w:space="0" w:color="auto"/>
        <w:left w:val="none" w:sz="0" w:space="0" w:color="auto"/>
        <w:bottom w:val="none" w:sz="0" w:space="0" w:color="auto"/>
        <w:right w:val="none" w:sz="0" w:space="0" w:color="auto"/>
      </w:divBdr>
    </w:div>
    <w:div w:id="1787384115">
      <w:bodyDiv w:val="1"/>
      <w:marLeft w:val="0"/>
      <w:marRight w:val="0"/>
      <w:marTop w:val="0"/>
      <w:marBottom w:val="0"/>
      <w:divBdr>
        <w:top w:val="none" w:sz="0" w:space="0" w:color="auto"/>
        <w:left w:val="none" w:sz="0" w:space="0" w:color="auto"/>
        <w:bottom w:val="none" w:sz="0" w:space="0" w:color="auto"/>
        <w:right w:val="none" w:sz="0" w:space="0" w:color="auto"/>
      </w:divBdr>
    </w:div>
    <w:div w:id="1833135781">
      <w:bodyDiv w:val="1"/>
      <w:marLeft w:val="0"/>
      <w:marRight w:val="0"/>
      <w:marTop w:val="0"/>
      <w:marBottom w:val="0"/>
      <w:divBdr>
        <w:top w:val="none" w:sz="0" w:space="0" w:color="auto"/>
        <w:left w:val="none" w:sz="0" w:space="0" w:color="auto"/>
        <w:bottom w:val="none" w:sz="0" w:space="0" w:color="auto"/>
        <w:right w:val="none" w:sz="0" w:space="0" w:color="auto"/>
      </w:divBdr>
    </w:div>
    <w:div w:id="1839467631">
      <w:bodyDiv w:val="1"/>
      <w:marLeft w:val="0"/>
      <w:marRight w:val="0"/>
      <w:marTop w:val="0"/>
      <w:marBottom w:val="0"/>
      <w:divBdr>
        <w:top w:val="none" w:sz="0" w:space="0" w:color="auto"/>
        <w:left w:val="none" w:sz="0" w:space="0" w:color="auto"/>
        <w:bottom w:val="none" w:sz="0" w:space="0" w:color="auto"/>
        <w:right w:val="none" w:sz="0" w:space="0" w:color="auto"/>
      </w:divBdr>
    </w:div>
    <w:div w:id="1865749083">
      <w:bodyDiv w:val="1"/>
      <w:marLeft w:val="0"/>
      <w:marRight w:val="0"/>
      <w:marTop w:val="0"/>
      <w:marBottom w:val="0"/>
      <w:divBdr>
        <w:top w:val="none" w:sz="0" w:space="0" w:color="auto"/>
        <w:left w:val="none" w:sz="0" w:space="0" w:color="auto"/>
        <w:bottom w:val="none" w:sz="0" w:space="0" w:color="auto"/>
        <w:right w:val="none" w:sz="0" w:space="0" w:color="auto"/>
      </w:divBdr>
    </w:div>
    <w:div w:id="1872110950">
      <w:bodyDiv w:val="1"/>
      <w:marLeft w:val="0"/>
      <w:marRight w:val="0"/>
      <w:marTop w:val="0"/>
      <w:marBottom w:val="0"/>
      <w:divBdr>
        <w:top w:val="none" w:sz="0" w:space="0" w:color="auto"/>
        <w:left w:val="none" w:sz="0" w:space="0" w:color="auto"/>
        <w:bottom w:val="none" w:sz="0" w:space="0" w:color="auto"/>
        <w:right w:val="none" w:sz="0" w:space="0" w:color="auto"/>
      </w:divBdr>
    </w:div>
    <w:div w:id="1880237522">
      <w:bodyDiv w:val="1"/>
      <w:marLeft w:val="0"/>
      <w:marRight w:val="0"/>
      <w:marTop w:val="0"/>
      <w:marBottom w:val="0"/>
      <w:divBdr>
        <w:top w:val="none" w:sz="0" w:space="0" w:color="auto"/>
        <w:left w:val="none" w:sz="0" w:space="0" w:color="auto"/>
        <w:bottom w:val="none" w:sz="0" w:space="0" w:color="auto"/>
        <w:right w:val="none" w:sz="0" w:space="0" w:color="auto"/>
      </w:divBdr>
    </w:div>
    <w:div w:id="1892108167">
      <w:bodyDiv w:val="1"/>
      <w:marLeft w:val="0"/>
      <w:marRight w:val="0"/>
      <w:marTop w:val="0"/>
      <w:marBottom w:val="0"/>
      <w:divBdr>
        <w:top w:val="none" w:sz="0" w:space="0" w:color="auto"/>
        <w:left w:val="none" w:sz="0" w:space="0" w:color="auto"/>
        <w:bottom w:val="none" w:sz="0" w:space="0" w:color="auto"/>
        <w:right w:val="none" w:sz="0" w:space="0" w:color="auto"/>
      </w:divBdr>
    </w:div>
    <w:div w:id="1904096240">
      <w:bodyDiv w:val="1"/>
      <w:marLeft w:val="0"/>
      <w:marRight w:val="0"/>
      <w:marTop w:val="0"/>
      <w:marBottom w:val="0"/>
      <w:divBdr>
        <w:top w:val="none" w:sz="0" w:space="0" w:color="auto"/>
        <w:left w:val="none" w:sz="0" w:space="0" w:color="auto"/>
        <w:bottom w:val="none" w:sz="0" w:space="0" w:color="auto"/>
        <w:right w:val="none" w:sz="0" w:space="0" w:color="auto"/>
      </w:divBdr>
    </w:div>
    <w:div w:id="1910262934">
      <w:bodyDiv w:val="1"/>
      <w:marLeft w:val="0"/>
      <w:marRight w:val="0"/>
      <w:marTop w:val="0"/>
      <w:marBottom w:val="0"/>
      <w:divBdr>
        <w:top w:val="none" w:sz="0" w:space="0" w:color="auto"/>
        <w:left w:val="none" w:sz="0" w:space="0" w:color="auto"/>
        <w:bottom w:val="none" w:sz="0" w:space="0" w:color="auto"/>
        <w:right w:val="none" w:sz="0" w:space="0" w:color="auto"/>
      </w:divBdr>
    </w:div>
    <w:div w:id="1914510033">
      <w:bodyDiv w:val="1"/>
      <w:marLeft w:val="0"/>
      <w:marRight w:val="0"/>
      <w:marTop w:val="0"/>
      <w:marBottom w:val="0"/>
      <w:divBdr>
        <w:top w:val="none" w:sz="0" w:space="0" w:color="auto"/>
        <w:left w:val="none" w:sz="0" w:space="0" w:color="auto"/>
        <w:bottom w:val="none" w:sz="0" w:space="0" w:color="auto"/>
        <w:right w:val="none" w:sz="0" w:space="0" w:color="auto"/>
      </w:divBdr>
    </w:div>
    <w:div w:id="1917930655">
      <w:bodyDiv w:val="1"/>
      <w:marLeft w:val="0"/>
      <w:marRight w:val="0"/>
      <w:marTop w:val="0"/>
      <w:marBottom w:val="0"/>
      <w:divBdr>
        <w:top w:val="none" w:sz="0" w:space="0" w:color="auto"/>
        <w:left w:val="none" w:sz="0" w:space="0" w:color="auto"/>
        <w:bottom w:val="none" w:sz="0" w:space="0" w:color="auto"/>
        <w:right w:val="none" w:sz="0" w:space="0" w:color="auto"/>
      </w:divBdr>
    </w:div>
    <w:div w:id="1919245350">
      <w:bodyDiv w:val="1"/>
      <w:marLeft w:val="0"/>
      <w:marRight w:val="0"/>
      <w:marTop w:val="0"/>
      <w:marBottom w:val="0"/>
      <w:divBdr>
        <w:top w:val="none" w:sz="0" w:space="0" w:color="auto"/>
        <w:left w:val="none" w:sz="0" w:space="0" w:color="auto"/>
        <w:bottom w:val="none" w:sz="0" w:space="0" w:color="auto"/>
        <w:right w:val="none" w:sz="0" w:space="0" w:color="auto"/>
      </w:divBdr>
    </w:div>
    <w:div w:id="1937126816">
      <w:bodyDiv w:val="1"/>
      <w:marLeft w:val="0"/>
      <w:marRight w:val="0"/>
      <w:marTop w:val="0"/>
      <w:marBottom w:val="0"/>
      <w:divBdr>
        <w:top w:val="none" w:sz="0" w:space="0" w:color="auto"/>
        <w:left w:val="none" w:sz="0" w:space="0" w:color="auto"/>
        <w:bottom w:val="none" w:sz="0" w:space="0" w:color="auto"/>
        <w:right w:val="none" w:sz="0" w:space="0" w:color="auto"/>
      </w:divBdr>
    </w:div>
    <w:div w:id="1943564197">
      <w:bodyDiv w:val="1"/>
      <w:marLeft w:val="0"/>
      <w:marRight w:val="0"/>
      <w:marTop w:val="0"/>
      <w:marBottom w:val="0"/>
      <w:divBdr>
        <w:top w:val="none" w:sz="0" w:space="0" w:color="auto"/>
        <w:left w:val="none" w:sz="0" w:space="0" w:color="auto"/>
        <w:bottom w:val="none" w:sz="0" w:space="0" w:color="auto"/>
        <w:right w:val="none" w:sz="0" w:space="0" w:color="auto"/>
      </w:divBdr>
    </w:div>
    <w:div w:id="1944921895">
      <w:bodyDiv w:val="1"/>
      <w:marLeft w:val="0"/>
      <w:marRight w:val="0"/>
      <w:marTop w:val="0"/>
      <w:marBottom w:val="0"/>
      <w:divBdr>
        <w:top w:val="none" w:sz="0" w:space="0" w:color="auto"/>
        <w:left w:val="none" w:sz="0" w:space="0" w:color="auto"/>
        <w:bottom w:val="none" w:sz="0" w:space="0" w:color="auto"/>
        <w:right w:val="none" w:sz="0" w:space="0" w:color="auto"/>
      </w:divBdr>
    </w:div>
    <w:div w:id="1945377706">
      <w:bodyDiv w:val="1"/>
      <w:marLeft w:val="0"/>
      <w:marRight w:val="0"/>
      <w:marTop w:val="0"/>
      <w:marBottom w:val="0"/>
      <w:divBdr>
        <w:top w:val="none" w:sz="0" w:space="0" w:color="auto"/>
        <w:left w:val="none" w:sz="0" w:space="0" w:color="auto"/>
        <w:bottom w:val="none" w:sz="0" w:space="0" w:color="auto"/>
        <w:right w:val="none" w:sz="0" w:space="0" w:color="auto"/>
      </w:divBdr>
    </w:div>
    <w:div w:id="1956398403">
      <w:bodyDiv w:val="1"/>
      <w:marLeft w:val="0"/>
      <w:marRight w:val="0"/>
      <w:marTop w:val="0"/>
      <w:marBottom w:val="0"/>
      <w:divBdr>
        <w:top w:val="none" w:sz="0" w:space="0" w:color="auto"/>
        <w:left w:val="none" w:sz="0" w:space="0" w:color="auto"/>
        <w:bottom w:val="none" w:sz="0" w:space="0" w:color="auto"/>
        <w:right w:val="none" w:sz="0" w:space="0" w:color="auto"/>
      </w:divBdr>
    </w:div>
    <w:div w:id="1995572865">
      <w:bodyDiv w:val="1"/>
      <w:marLeft w:val="0"/>
      <w:marRight w:val="0"/>
      <w:marTop w:val="0"/>
      <w:marBottom w:val="0"/>
      <w:divBdr>
        <w:top w:val="none" w:sz="0" w:space="0" w:color="auto"/>
        <w:left w:val="none" w:sz="0" w:space="0" w:color="auto"/>
        <w:bottom w:val="none" w:sz="0" w:space="0" w:color="auto"/>
        <w:right w:val="none" w:sz="0" w:space="0" w:color="auto"/>
      </w:divBdr>
    </w:div>
    <w:div w:id="2017271189">
      <w:bodyDiv w:val="1"/>
      <w:marLeft w:val="0"/>
      <w:marRight w:val="0"/>
      <w:marTop w:val="0"/>
      <w:marBottom w:val="0"/>
      <w:divBdr>
        <w:top w:val="none" w:sz="0" w:space="0" w:color="auto"/>
        <w:left w:val="none" w:sz="0" w:space="0" w:color="auto"/>
        <w:bottom w:val="none" w:sz="0" w:space="0" w:color="auto"/>
        <w:right w:val="none" w:sz="0" w:space="0" w:color="auto"/>
      </w:divBdr>
    </w:div>
    <w:div w:id="2021422912">
      <w:bodyDiv w:val="1"/>
      <w:marLeft w:val="0"/>
      <w:marRight w:val="0"/>
      <w:marTop w:val="0"/>
      <w:marBottom w:val="0"/>
      <w:divBdr>
        <w:top w:val="none" w:sz="0" w:space="0" w:color="auto"/>
        <w:left w:val="none" w:sz="0" w:space="0" w:color="auto"/>
        <w:bottom w:val="none" w:sz="0" w:space="0" w:color="auto"/>
        <w:right w:val="none" w:sz="0" w:space="0" w:color="auto"/>
      </w:divBdr>
    </w:div>
    <w:div w:id="2022589160">
      <w:bodyDiv w:val="1"/>
      <w:marLeft w:val="0"/>
      <w:marRight w:val="0"/>
      <w:marTop w:val="0"/>
      <w:marBottom w:val="0"/>
      <w:divBdr>
        <w:top w:val="none" w:sz="0" w:space="0" w:color="auto"/>
        <w:left w:val="none" w:sz="0" w:space="0" w:color="auto"/>
        <w:bottom w:val="none" w:sz="0" w:space="0" w:color="auto"/>
        <w:right w:val="none" w:sz="0" w:space="0" w:color="auto"/>
      </w:divBdr>
    </w:div>
    <w:div w:id="2049867046">
      <w:bodyDiv w:val="1"/>
      <w:marLeft w:val="0"/>
      <w:marRight w:val="0"/>
      <w:marTop w:val="0"/>
      <w:marBottom w:val="0"/>
      <w:divBdr>
        <w:top w:val="none" w:sz="0" w:space="0" w:color="auto"/>
        <w:left w:val="none" w:sz="0" w:space="0" w:color="auto"/>
        <w:bottom w:val="none" w:sz="0" w:space="0" w:color="auto"/>
        <w:right w:val="none" w:sz="0" w:space="0" w:color="auto"/>
      </w:divBdr>
    </w:div>
    <w:div w:id="2066022631">
      <w:bodyDiv w:val="1"/>
      <w:marLeft w:val="0"/>
      <w:marRight w:val="0"/>
      <w:marTop w:val="0"/>
      <w:marBottom w:val="0"/>
      <w:divBdr>
        <w:top w:val="none" w:sz="0" w:space="0" w:color="auto"/>
        <w:left w:val="none" w:sz="0" w:space="0" w:color="auto"/>
        <w:bottom w:val="none" w:sz="0" w:space="0" w:color="auto"/>
        <w:right w:val="none" w:sz="0" w:space="0" w:color="auto"/>
      </w:divBdr>
    </w:div>
    <w:div w:id="2069107324">
      <w:bodyDiv w:val="1"/>
      <w:marLeft w:val="0"/>
      <w:marRight w:val="0"/>
      <w:marTop w:val="0"/>
      <w:marBottom w:val="0"/>
      <w:divBdr>
        <w:top w:val="none" w:sz="0" w:space="0" w:color="auto"/>
        <w:left w:val="none" w:sz="0" w:space="0" w:color="auto"/>
        <w:bottom w:val="none" w:sz="0" w:space="0" w:color="auto"/>
        <w:right w:val="none" w:sz="0" w:space="0" w:color="auto"/>
      </w:divBdr>
    </w:div>
    <w:div w:id="2071926213">
      <w:bodyDiv w:val="1"/>
      <w:marLeft w:val="0"/>
      <w:marRight w:val="0"/>
      <w:marTop w:val="0"/>
      <w:marBottom w:val="0"/>
      <w:divBdr>
        <w:top w:val="none" w:sz="0" w:space="0" w:color="auto"/>
        <w:left w:val="none" w:sz="0" w:space="0" w:color="auto"/>
        <w:bottom w:val="none" w:sz="0" w:space="0" w:color="auto"/>
        <w:right w:val="none" w:sz="0" w:space="0" w:color="auto"/>
      </w:divBdr>
    </w:div>
    <w:div w:id="2075467303">
      <w:bodyDiv w:val="1"/>
      <w:marLeft w:val="0"/>
      <w:marRight w:val="0"/>
      <w:marTop w:val="0"/>
      <w:marBottom w:val="0"/>
      <w:divBdr>
        <w:top w:val="none" w:sz="0" w:space="0" w:color="auto"/>
        <w:left w:val="none" w:sz="0" w:space="0" w:color="auto"/>
        <w:bottom w:val="none" w:sz="0" w:space="0" w:color="auto"/>
        <w:right w:val="none" w:sz="0" w:space="0" w:color="auto"/>
      </w:divBdr>
    </w:div>
    <w:div w:id="2083868644">
      <w:bodyDiv w:val="1"/>
      <w:marLeft w:val="0"/>
      <w:marRight w:val="0"/>
      <w:marTop w:val="0"/>
      <w:marBottom w:val="0"/>
      <w:divBdr>
        <w:top w:val="none" w:sz="0" w:space="0" w:color="auto"/>
        <w:left w:val="none" w:sz="0" w:space="0" w:color="auto"/>
        <w:bottom w:val="none" w:sz="0" w:space="0" w:color="auto"/>
        <w:right w:val="none" w:sz="0" w:space="0" w:color="auto"/>
      </w:divBdr>
    </w:div>
    <w:div w:id="2088187645">
      <w:bodyDiv w:val="1"/>
      <w:marLeft w:val="0"/>
      <w:marRight w:val="0"/>
      <w:marTop w:val="0"/>
      <w:marBottom w:val="0"/>
      <w:divBdr>
        <w:top w:val="none" w:sz="0" w:space="0" w:color="auto"/>
        <w:left w:val="none" w:sz="0" w:space="0" w:color="auto"/>
        <w:bottom w:val="none" w:sz="0" w:space="0" w:color="auto"/>
        <w:right w:val="none" w:sz="0" w:space="0" w:color="auto"/>
      </w:divBdr>
    </w:div>
    <w:div w:id="2094929526">
      <w:bodyDiv w:val="1"/>
      <w:marLeft w:val="0"/>
      <w:marRight w:val="0"/>
      <w:marTop w:val="0"/>
      <w:marBottom w:val="0"/>
      <w:divBdr>
        <w:top w:val="none" w:sz="0" w:space="0" w:color="auto"/>
        <w:left w:val="none" w:sz="0" w:space="0" w:color="auto"/>
        <w:bottom w:val="none" w:sz="0" w:space="0" w:color="auto"/>
        <w:right w:val="none" w:sz="0" w:space="0" w:color="auto"/>
      </w:divBdr>
    </w:div>
    <w:div w:id="212607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Delamaza2011</b:Tag>
    <b:SourceType>JournalArticle</b:SourceType>
    <b:Guid>{3BC265F2-6E92-4943-96F9-B6F3D86AE2CE}</b:Guid>
    <b:Title>Espacio Público y participación ciudadana en la gestión Pública en Chile: límites y posibilidades"</b:Title>
    <b:Year>2011</b:Year>
    <b:Author>
      <b:Author>
        <b:NameList>
          <b:Person>
            <b:Last>Delamaza</b:Last>
            <b:First>Gonzalo</b:First>
          </b:Person>
        </b:NameList>
      </b:Author>
    </b:Author>
    <b:JournalName>Revista de la Universidad Bolivariana volumen 10,N°30</b:JournalName>
    <b:RefOrder>9</b:RefOrder>
  </b:Source>
  <b:Source>
    <b:Tag>Delamaza2010</b:Tag>
    <b:SourceType>Misc</b:SourceType>
    <b:Guid>{3FB9D1C7-B0E5-4697-B42E-0D47ED9ED178}</b:Guid>
    <b:Title>Agendas políticas de participación: condiciones y posibilidades para las organizaciones ciudadanas</b:Title>
    <b:Year>2010</b:Year>
    <b:Author>
      <b:Author>
        <b:NameList>
          <b:Person>
            <b:Last>Delamaza</b:Last>
            <b:First>Gonzalo</b:First>
          </b:Person>
        </b:NameList>
      </b:Author>
    </b:Author>
    <b:RefOrder>10</b:RefOrder>
  </b:Source>
  <b:Source>
    <b:Tag>Remy2005</b:Tag>
    <b:SourceType>Book</b:SourceType>
    <b:Guid>{060FE388-570C-4CA9-AF14-D48C5467B018}</b:Guid>
    <b:Title> Los múltiples campos de la participación ciudadana en el Perú. </b:Title>
    <b:Year>2005</b:Year>
    <b:City>Lima</b:City>
    <b:Author>
      <b:Author>
        <b:NameList>
          <b:Person>
            <b:Last>Remy</b:Last>
            <b:First>Maria</b:First>
            <b:Middle>Isabel</b:Middle>
          </b:Person>
        </b:NameList>
      </b:Author>
    </b:Author>
    <b:RefOrder>11</b:RefOrder>
  </b:Source>
  <b:Source>
    <b:Tag>Arriaza2012</b:Tag>
    <b:SourceType>Report</b:SourceType>
    <b:Guid>{6B88DF52-BB95-4604-8C8A-51BB57C12EAE}</b:Guid>
    <b:Title>El Desafía de la participación ciudandana en el Estado Democrático de Derecho.</b:Title>
    <b:Year>2012</b:Year>
    <b:City>San josè , Costa RIca</b:City>
    <b:Author>
      <b:Author>
        <b:NameList>
          <b:Person>
            <b:Last>Arriaza</b:Last>
            <b:First>Ricardo</b:First>
            <b:Middle>Sol</b:Middle>
          </b:Person>
        </b:NameList>
      </b:Author>
    </b:Author>
    <b:RefOrder>12</b:RefOrder>
  </b:Source>
  <b:Source>
    <b:Tag>MinEnergía2015</b:Tag>
    <b:SourceType>InternetSite</b:SourceType>
    <b:Guid>{D06F827F-D20F-475A-A400-7D57F9F8B5A6}</b:Guid>
    <b:Title>http://www.energia2050.cl/</b:Title>
    <b:Year>2015</b:Year>
    <b:Author>
      <b:Author>
        <b:Corporate>Ministerio de Energía</b:Corporate>
      </b:Author>
    </b:Author>
    <b:Month>noviembre</b:Month>
    <b:Day>25</b:Day>
    <b:RefOrder>13</b:RefOrder>
  </b:Source>
  <b:Source>
    <b:Tag>PNUD2015</b:Tag>
    <b:SourceType>DocumentFromInternetSite</b:SourceType>
    <b:Guid>{D6ABBDEA-737A-4232-A362-1F3CA9D26EE3}</b:Guid>
    <b:Author>
      <b:Author>
        <b:Corporate>PNUD</b:Corporate>
      </b:Author>
    </b:Author>
    <b:Title>www.pnud.com</b:Title>
    <b:InternetSiteTitle>Política Energética 2050</b:InternetSiteTitle>
    <b:Year>2015</b:Year>
    <b:Month>10</b:Month>
    <b:RefOrder>14</b:RefOrder>
  </b:Source>
  <b:Source>
    <b:Tag>Minergia2015</b:Tag>
    <b:SourceType>DocumentFromInternetSite</b:SourceType>
    <b:Guid>{722A0104-7678-4E0A-94AC-B482610E4ADC}</b:Guid>
    <b:Author>
      <b:Author>
        <b:Corporate>Ministerio de Energía</b:Corporate>
      </b:Author>
    </b:Author>
    <b:Title>www.energia2050.cl</b:Title>
    <b:InternetSiteTitle>Hoja de Ruta 2050</b:InternetSiteTitle>
    <b:Year>2015</b:Year>
    <b:RefOrder>15</b:RefOrder>
  </b:Source>
  <b:Source>
    <b:Tag>Böll2012</b:Tag>
    <b:SourceType>JournalArticle</b:SourceType>
    <b:Guid>{D1B74344-C5AC-469F-801C-EC9B5A43C395}</b:Guid>
    <b:Author>
      <b:Author>
        <b:NameList>
          <b:Person>
            <b:Last>Böll</b:Last>
            <b:First>Fundación</b:First>
            <b:Middle>Henrich</b:Middle>
          </b:Person>
        </b:NameList>
      </b:Author>
    </b:Author>
    <b:Title>"Energy Tansition the German Energiwende"</b:Title>
    <b:Year>2012</b:Year>
    <b:RefOrder>16</b:RefOrder>
  </b:Source>
  <b:Source>
    <b:Tag>Roadmap2010</b:Tag>
    <b:SourceType>JournalArticle</b:SourceType>
    <b:Guid>{0B842BD2-34AC-41C7-BA44-FEFCE80C9FC0}</b:Guid>
    <b:Title>"Roadmap 2050, Techinical analysis executive summary"</b:Title>
    <b:Year>2010</b:Year>
    <b:RefOrder>17</b:RefOrder>
  </b:Source>
  <b:Source>
    <b:Tag>Miner2014</b:Tag>
    <b:SourceType>JournalArticle</b:SourceType>
    <b:Guid>{A05C6CA7-549E-46A2-9717-7CCB135B9158}</b:Guid>
    <b:Author>
      <b:Author>
        <b:Corporate>Mnisterio de Energía</b:Corporate>
      </b:Author>
    </b:Author>
    <b:Title>"Informe técnico, Experiencias Internacionales de Mecanismos de Participación de Políticas Energéticas"</b:Title>
    <b:Year>2014</b:Year>
    <b:RefOrder>18</b:RefOrder>
  </b:Source>
  <b:Source>
    <b:Tag>Cunill1997</b:Tag>
    <b:SourceType>Report</b:SourceType>
    <b:Guid>{7B9EC910-D896-4001-87C8-40E610ABB032}</b:Guid>
    <b:Title>"Repasando lo Pùblico a través de la sociedad"</b:Title>
    <b:Year>1997</b:Year>
    <b:City>Caracas</b:City>
    <b:Publisher>Nueva Sociedad</b:Publisher>
    <b:Author>
      <b:Author>
        <b:NameList>
          <b:Person>
            <b:Last>Cunill</b:Last>
            <b:First>Nuria</b:First>
          </b:Person>
        </b:NameList>
      </b:Author>
    </b:Author>
    <b:RefOrder>19</b:RefOrder>
  </b:Source>
  <b:Source>
    <b:Tag>Baño1998</b:Tag>
    <b:SourceType>Report</b:SourceType>
    <b:Guid>{91C8225A-AA73-48BD-8265-107533A1442A}</b:Guid>
    <b:Author>
      <b:Author>
        <b:NameList>
          <b:Person>
            <b:Last>Baño</b:Last>
            <b:First>Rodrigo</b:First>
          </b:Person>
        </b:NameList>
      </b:Author>
    </b:Author>
    <b:Title>Nociones de una ciudadania que crece</b:Title>
    <b:Year>1998</b:Year>
    <b:Publisher>Marcela Correa y Enrique Noé</b:Publisher>
    <b:City>Santiago</b:City>
    <b:RefOrder>20</b:RefOrder>
  </b:Source>
  <b:Source>
    <b:Tag>Cunill2015</b:Tag>
    <b:SourceType>InternetSite</b:SourceType>
    <b:Guid>{0346C780-8B6B-4243-8227-6BA2C1B408CD}</b:Guid>
    <b:Title>Balance de la participación ciudadana en las Políticas Sociales: Prouesta de un marco analítico</b:Title>
    <b:Year>2015</b:Year>
    <b:Author>
      <b:Author>
        <b:NameList>
          <b:Person>
            <b:Last>Cunill</b:Last>
            <b:First>Nuria</b:First>
          </b:Person>
        </b:NameList>
      </b:Author>
    </b:Author>
    <b:RefOrder>21</b:RefOrder>
  </b:Source>
  <b:Source>
    <b:Tag>HojadeRuta2015</b:Tag>
    <b:SourceType>InternetSite</b:SourceType>
    <b:Guid>{1A7C7A4F-325C-4F74-BDA0-3B652131FA88}</b:Guid>
    <b:Author>
      <b:Author>
        <b:Corporate>Ministerio de Energia</b:Corporate>
      </b:Author>
    </b:Author>
    <b:Title>http://www.energia.gob.cl/sites/default/files/hoja_de_ruta_cc_e2050.pdf</b:Title>
    <b:Year>2015</b:Year>
    <b:Month>12</b:Month>
    <b:Day>26</b:Day>
    <b:RefOrder>22</b:RefOrder>
  </b:Source>
  <b:Source>
    <b:Tag>Bra141</b:Tag>
    <b:SourceType>JournalArticle</b:SourceType>
    <b:Guid>{F8AE0992-AADC-417E-88EB-C968486B92EF}</b:Guid>
    <b:Author>
      <b:Author>
        <b:Corporate>Bravo, Javiera</b:Corporate>
      </b:Author>
    </b:Author>
    <b:Title>Fondo Comun Municipal y su desincentivo a la recaudacion en Chile</b:Title>
    <b:Year>2014</b:Year>
    <b:Month>junio</b:Month>
    <b:JournalName>Centro de politicas Universidad Catolica de Chile</b:JournalName>
    <b:Pages>5-18</b:Pages>
    <b:Volume>9</b:Volume>
    <b:Issue>68</b:Issue>
    <b:YearAccessed>2018</b:YearAccessed>
    <b:MonthAccessed>noviembre</b:MonthAccessed>
    <b:DayAccessed>20</b:DayAccessed>
    <b:URL>https://politicaspublicas.uc.cl/wp-content/uploads/2015/02/fondo-comun-municipal-y-su-desincentivo-a-la-recaudacion-en-chile.pdf</b:URL>
    <b:RefOrder>1</b:RefOrder>
  </b:Source>
  <b:Source>
    <b:Tag>OEC171</b:Tag>
    <b:SourceType>ElectronicSource</b:SourceType>
    <b:Guid>{8D07F0E3-01EB-4AD2-A6C7-880F6248DC0B}</b:Guid>
    <b:Author>
      <b:Author>
        <b:Corporate>OECD</b:Corporate>
      </b:Author>
    </b:Author>
    <b:Title>Making Decentralisation Work in Chile: Towards Stronger Municipalities, OECD Multi-level</b:Title>
    <b:Year>2017</b:Year>
    <b:RefOrder>2</b:RefOrder>
  </b:Source>
  <b:Source>
    <b:Tag>div18</b:Tag>
    <b:SourceType>ElectronicSource</b:SourceType>
    <b:Guid>{A0875079-1970-4736-BC26-478BB6E59EB3}</b:Guid>
    <b:Title>guia de busqueda de informacion</b:Title>
    <b:Year>2018</b:Year>
    <b:URL>http://www.sinim.gov.cl/archivos/home/576/Guia_Busqueda_Informacion_SINIM_(version4.1.2018).pdf</b:URL>
    <b:Author>
      <b:Author>
        <b:Corporate>division de municipalidades, departamento de finanzas municipales</b:Corporate>
      </b:Author>
    </b:Author>
    <b:RefOrder>7</b:RefOrder>
  </b:Source>
  <b:Source>
    <b:Tag>UNI11</b:Tag>
    <b:SourceType>Report</b:SourceType>
    <b:Guid>{5A16B4C8-281A-4892-82C8-12D7719CADD1}</b:Guid>
    <b:Title>DIAGNÓSTICO Y RECOMENDACIONES DE REDISEÑO DEL FONDO COMÚN MUNICPAL</b:Title>
    <b:City>Satiago</b:City>
    <b:Year>2011</b:Year>
    <b:Author>
      <b:Author>
        <b:Corporate> UNIVERSIDAD DE CHILE</b:Corporate>
      </b:Author>
    </b:Author>
    <b:Publisher>CENTRO DE SISTEMA PÚBLICOS, DEPARTAMENTO INGENIERÍA INDUSTRIAL, FACULTAD DE CIENCIAS FÍSICAS Y MATEMÁTICAS,</b:Publisher>
    <b:RefOrder>8</b:RefOrder>
  </b:Source>
  <b:Source>
    <b:Tag>Bib181</b:Tag>
    <b:SourceType>InternetSite</b:SourceType>
    <b:Guid>{BF50876D-9F02-4A6F-91EA-02A5A5A881BF}</b:Guid>
    <b:Title>Biblioteca Del Congreso Nacional</b:Title>
    <b:URL>http://bcn.cl/1uuy1</b:URL>
    <b:Author>
      <b:Author>
        <b:NameList>
          <b:Person>
            <b:Last>LEY Nº 18.695</b:Last>
            <b:First>ORGANICA</b:First>
            <b:Middle>CONSTITUCIONAL DE MUNICIPALIDADES</b:Middle>
          </b:Person>
        </b:NameList>
      </b:Author>
      <b:Compiler>
        <b:NameList>
          <b:Person>
            <b:Last>Nacional</b:Last>
            <b:First>Biblioteca</b:First>
            <b:Middle>Del Congreso</b:Middle>
          </b:Person>
        </b:NameList>
      </b:Compiler>
    </b:Author>
    <b:YearAccessed>2018</b:YearAccessed>
    <b:MonthAccessed>noviembre</b:MonthAccessed>
    <b:DayAccessed>20</b:DayAccessed>
    <b:RefOrder>4</b:RefOrder>
  </b:Source>
  <b:Source>
    <b:Tag>Fra13</b:Tag>
    <b:SourceType>ElectronicSource</b:SourceType>
    <b:Guid>{6AFF0F1D-D0CC-4258-AF89-FCA50AF478BC}</b:Guid>
    <b:Title>Eficiencia de los Gobiernos Locales y sus Determinantes: Un análisis de Fronteras Estocásticas en Datos de Panel para Municipalidades Chilenas</b:Title>
    <b:Year>2013</b:Year>
    <b:Month>marzo</b:Month>
    <b:URL> www.dipres.cl</b:URL>
    <b:Author>
      <b:Author>
        <b:NameList>
          <b:Person>
            <b:Last>Pacheco</b:Last>
            <b:First>Francisca</b:First>
          </b:Person>
          <b:Person>
            <b:Last>Sánchez</b:Last>
            <b:First>Rafael</b:First>
          </b:Person>
          <b:Person>
            <b:Last>Villena</b:Last>
            <b:First>Mauricio</b:First>
          </b:Person>
        </b:NameList>
      </b:Author>
      <b:Editor>
        <b:NameList>
          <b:Person>
            <b:Last>Hacienda</b:Last>
            <b:First>Publicación</b:First>
            <b:Middle>de la Dirección de Presupuestos del Ministerio de</b:Middle>
          </b:Person>
        </b:NameList>
      </b:Editor>
    </b:Author>
    <b:YearAccessed>2018</b:YearAccessed>
    <b:MonthAccessed>noviembre</b:MonthAccessed>
    <b:DayAccessed>20</b:DayAccessed>
    <b:RefOrder>5</b:RefOrder>
  </b:Source>
  <b:Source>
    <b:Tag>Per16</b:Tag>
    <b:SourceType>JournalArticle</b:SourceType>
    <b:Guid>{FBCCCEEE-45C4-49F6-AA0E-3BE232DE726F}</b:Guid>
    <b:Author>
      <b:Author>
        <b:NameList>
          <b:Person>
            <b:Last>Perez</b:Last>
            <b:First>Mario</b:First>
          </b:Person>
        </b:NameList>
      </b:Author>
    </b:Author>
    <b:Title>Analisis de los municipios Chilenos: Ingresos por gestion versus transferencias del Fondo Comun Municipal</b:Title>
    <b:CountryRegion>Chile</b:CountryRegion>
    <b:Year>2016</b:Year>
    <b:Month>Noviembre</b:Month>
    <b:Publisher>Universidad de Chile</b:Publisher>
    <b:Volume>4</b:Volume>
    <b:YearAccessed>2018</b:YearAccessed>
    <b:MonthAccessed>noviembre</b:MonthAccessed>
    <b:DayAccessed>20</b:DayAccessed>
    <b:JournalName>Revista Estudios de Politicas Publicas</b:JournalName>
    <b:Pages>121-130</b:Pages>
    <b:URL>http://dx.doi.org/10.5354/0719-6296.2016.44264</b:URL>
    <b:RefOrder>3</b:RefOrder>
  </b:Source>
  <b:Source>
    <b:Tag>Dia11</b:Tag>
    <b:SourceType>JournalArticle</b:SourceType>
    <b:Guid>{364CA7C6-0A1D-445E-BAED-8E04C81C4FAF}</b:Guid>
    <b:Author>
      <b:Author>
        <b:NameList>
          <b:Person>
            <b:Last>Diaz</b:Last>
            <b:First>Marcxelo</b:First>
            <b:Middle>Henriquez</b:Middle>
          </b:Person>
          <b:Person>
            <b:Last>Aguirre</b:Last>
            <b:First>Javier</b:First>
            <b:Middle>Fuenzalida</b:Middle>
          </b:Person>
        </b:NameList>
      </b:Author>
    </b:Author>
    <b:Title>Compnesando la Desigualdad de ingresos Locales: El Fondo Comun Municipal (FCM) en Chile</b:Title>
    <b:JournalName>Revista Iberoamericana de Estudios Municipales</b:JournalName>
    <b:Year>2011</b:Year>
    <b:Pages>73-104</b:Pages>
    <b:Month>septiembre</b:Month>
    <b:Volume>II</b:Volume>
    <b:Issue>4</b:Issue>
    <b:YearAccessed>2018</b:YearAccessed>
    <b:MonthAccessed>noviembre</b:MonthAccessed>
    <b:DayAccessed>20</b:DayAccessed>
    <b:URL>http://www.sistemaspublicos.cl/wp-content/uploads/2017/08/Compensando-la-desigualdad-de-ingresos-locales.-El-Fondo-Com%C3%BAn-Municipal-FCM-en-Chile.pdf </b:URL>
    <b:RefOrder>6</b:RefOrder>
  </b:Source>
  <b:Source>
    <b:Tag>MarcadorDePosición1</b:Tag>
    <b:SourceType>Report</b:SourceType>
    <b:Guid>{0E06FE6F-780A-474F-8EDE-994DE959078A}</b:Guid>
    <b:Title>Diagnóstico y recomendaciones de rediseño del Fondo Común Municipal</b:Title>
    <b:City>Santiago</b:City>
    <b:Year>2011</b:Year>
    <b:Author>
      <b:Author>
        <b:Corporate>Universidad de Chile</b:Corporate>
      </b:Author>
    </b:Author>
    <b:Publisher>CENTRO DE SISTEMA PÚBLICOS, DEPARTAMENTO INGENIERÍA INDUSTRIAL, FACULTAD DE CIENCIAS FÍSICAS Y MATEMÁTICAS,</b:Publisher>
    <b:RefOrder>23</b:RefOrder>
  </b:Source>
</b:Sources>
</file>

<file path=customXml/itemProps1.xml><?xml version="1.0" encoding="utf-8"?>
<ds:datastoreItem xmlns:ds="http://schemas.openxmlformats.org/officeDocument/2006/customXml" ds:itemID="{166E622B-CE7E-A246-B570-3BC356EDE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4929</Words>
  <Characters>27113</Characters>
  <Application>Microsoft Macintosh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 Pizarro López</dc:creator>
  <cp:lastModifiedBy>Usuario de Microsoft Office</cp:lastModifiedBy>
  <cp:revision>3</cp:revision>
  <cp:lastPrinted>2016-11-28T17:41:00Z</cp:lastPrinted>
  <dcterms:created xsi:type="dcterms:W3CDTF">2018-11-22T22:55:00Z</dcterms:created>
  <dcterms:modified xsi:type="dcterms:W3CDTF">2018-11-22T22:57:00Z</dcterms:modified>
</cp:coreProperties>
</file>