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7E" w:rsidRPr="006A537E" w:rsidRDefault="006A537E" w:rsidP="006A537E">
      <w:pPr>
        <w:shd w:val="clear" w:color="auto" w:fill="FFFFFF"/>
        <w:spacing w:after="420" w:line="630" w:lineRule="atLeast"/>
        <w:outlineLvl w:val="0"/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</w:pPr>
      <w:proofErr w:type="spellStart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>Potential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>Impact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 xml:space="preserve"> of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 xml:space="preserve"> Coronavirus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>Epidemic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 xml:space="preserve">: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>What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>We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>Know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>What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>We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pacing w:val="-2"/>
          <w:kern w:val="36"/>
          <w:sz w:val="56"/>
          <w:szCs w:val="60"/>
          <w:lang w:eastAsia="es-ES"/>
        </w:rPr>
        <w:t xml:space="preserve"> Can Do</w:t>
      </w:r>
    </w:p>
    <w:p w:rsidR="006A537E" w:rsidRPr="006A537E" w:rsidRDefault="006A537E" w:rsidP="006A537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begin"/>
      </w:r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instrText xml:space="preserve"> HYPERLINK "https://www.imf.org/en/About/senior-officials/Bios/kristalina-georgieva" </w:instrText>
      </w:r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separate"/>
      </w:r>
      <w:r w:rsidRPr="006A537E">
        <w:rPr>
          <w:rFonts w:ascii="Arial" w:eastAsia="Times New Roman" w:hAnsi="Arial" w:cs="Arial"/>
          <w:color w:val="3979A6"/>
          <w:sz w:val="24"/>
          <w:szCs w:val="24"/>
          <w:lang w:eastAsia="es-ES"/>
        </w:rPr>
        <w:t>Kristalina</w:t>
      </w:r>
      <w:proofErr w:type="spellEnd"/>
      <w:r w:rsidRPr="006A537E">
        <w:rPr>
          <w:rFonts w:ascii="Arial" w:eastAsia="Times New Roman" w:hAnsi="Arial" w:cs="Arial"/>
          <w:color w:val="3979A6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3979A6"/>
          <w:sz w:val="24"/>
          <w:szCs w:val="24"/>
          <w:lang w:eastAsia="es-ES"/>
        </w:rPr>
        <w:t>Georgieva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end"/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recognize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situation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with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spread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coronavirus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very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serious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could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get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worse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affects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Let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start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with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know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don’t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yet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know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about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coronavirus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how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global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community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can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support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those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affected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crisis in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effective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coordinated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way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What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We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Know</w:t>
      </w:r>
      <w:proofErr w:type="spellEnd"/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know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disease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spreading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quickly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With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over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one-third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our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membership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affected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directly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no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longer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regional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issue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—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global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problem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calling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global response.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also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know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eventually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retreat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but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don’t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know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how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fast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happen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know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shock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somewhat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unusual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affects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significant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elements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both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supply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demand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</w:p>
    <w:p w:rsidR="006A537E" w:rsidRPr="006A537E" w:rsidRDefault="006A537E" w:rsidP="006A537E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Supply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disrupted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due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morbidity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mortality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but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also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containment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efforts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restrict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mobility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higher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costs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doing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business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due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restricted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supply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chains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a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tightening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credit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A537E" w:rsidRPr="006A537E" w:rsidRDefault="006A537E" w:rsidP="006A537E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Demand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also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due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higher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uncertainty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increased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precautionary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behavior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containment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efforts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rising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financial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costs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reduce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ability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spend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A537E" w:rsidRPr="006A537E" w:rsidRDefault="006A537E" w:rsidP="006A537E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These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effects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spill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over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across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borders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A537E" w:rsidRPr="006A537E" w:rsidRDefault="006A537E" w:rsidP="006A537E">
      <w:pPr>
        <w:spacing w:line="570" w:lineRule="atLeast"/>
        <w:jc w:val="both"/>
        <w:rPr>
          <w:rFonts w:ascii="Arial" w:eastAsia="Times New Roman" w:hAnsi="Arial" w:cs="Arial"/>
          <w:color w:val="000000"/>
          <w:sz w:val="42"/>
          <w:szCs w:val="42"/>
          <w:lang w:eastAsia="es-ES"/>
        </w:rPr>
      </w:pP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>Under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>any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>scenario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 xml:space="preserve">, global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>growth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 xml:space="preserve"> in 2020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>will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>drop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>below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>last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>year’s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>level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>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Experience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suggests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about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one-third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economic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losses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from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disease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direct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costs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: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from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life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workplace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closures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quarantines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remaining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two-thirds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indirect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reflecting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retrenchment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consumer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confidence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business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behavior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a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tightening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financial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markets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good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news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financial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systems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are more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resilient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before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Global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Financial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Crisis.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However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our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biggest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challenge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right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now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handling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uncertainty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Under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any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scenario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global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growth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2020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drop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below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year’s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level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How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how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difficult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predict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would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depend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epidemic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but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also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timeliness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effectiveness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our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actions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particularly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challenging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countries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with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weaker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health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systems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response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capacity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—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calling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global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coordination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mechanism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accelerate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recovery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demand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supply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How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Respond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at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Country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Level</w:t>
      </w:r>
      <w:proofErr w:type="spellEnd"/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number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priority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terms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fiscal response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ensuring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front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-line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health-related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spending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protect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people’s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wellbeing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take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care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sick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slow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spread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virus. I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can’t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emphasize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enough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urgency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stepping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up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health-related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measures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—and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need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ensure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production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medical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supplies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so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supply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at par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with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demand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Second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macro-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financial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policy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actions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required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tackle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supply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demand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shocks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mentioned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above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aim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should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“no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regret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”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actions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shorten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soften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economic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impact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should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timely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targeted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sectors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businesses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households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hardest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hit.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generalized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weakening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demand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through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confidence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spillover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channels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—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including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trade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tourism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commodity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prices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tighter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financial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conditions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—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would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additional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policy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response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support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demand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ensure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adequate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supply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credit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Third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adequate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liquidity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also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needed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offset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financial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stability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risks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In short,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situation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evolving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rapidly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should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stand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ready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provide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more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forceful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coordinated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response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if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conditions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require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Along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these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lines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I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welcome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statement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from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G7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yesterday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are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ready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cooperate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further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timely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effective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measures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How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Fund</w:t>
      </w:r>
      <w:proofErr w:type="spellEnd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Can </w:t>
      </w:r>
      <w:proofErr w:type="spellStart"/>
      <w:r w:rsidRPr="006A5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Help</w:t>
      </w:r>
      <w:proofErr w:type="spellEnd"/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our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part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Fund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ready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help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membership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IMF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making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available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about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$50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billion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through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rapid-disbursing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emergency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facilities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low-income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emerging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market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countries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could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potentially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seek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support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$10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billion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available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at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zero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interest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poorest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members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through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Rapid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Credit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Facility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There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are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many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members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at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risk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including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those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with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weak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health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systems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inadequate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policy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space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commodity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exporters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exposed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terms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-of-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trade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shocks,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others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are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particularly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vulnerable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spillovers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I am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particularly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concerned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about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our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low-income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more vulnerable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members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—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these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countries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needs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rise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rapidly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economic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human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cost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virus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escalates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Our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staff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are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currently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working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identifying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vulnerable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countries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estimating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potential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needs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should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situation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deteriorate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further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Fund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has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resources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available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support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membership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</w:p>
    <w:p w:rsidR="006A537E" w:rsidRPr="006A537E" w:rsidRDefault="006A537E" w:rsidP="006A5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Thanks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generosity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our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shareholders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have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about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$1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trillion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overall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lending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capacity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</w:r>
    </w:p>
    <w:p w:rsidR="006A537E" w:rsidRPr="006A537E" w:rsidRDefault="006A537E" w:rsidP="006A5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low-income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countries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have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rapid-disbursing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emergency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up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$10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billion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(50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percent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quota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eligible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members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)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can be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accessed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without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full-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fledged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IMF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program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</w:r>
    </w:p>
    <w:p w:rsidR="006A537E" w:rsidRPr="006A537E" w:rsidRDefault="006A537E" w:rsidP="006A5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Other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members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can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access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emergency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through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Rapid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Instrument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facility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could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provide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about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$40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billion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emerging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markets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could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potentially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approach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financial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support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</w:r>
    </w:p>
    <w:p w:rsidR="006A537E" w:rsidRPr="006A537E" w:rsidRDefault="006A537E" w:rsidP="006A5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also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have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Catastrophe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Containment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Relief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Trust—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CCRT—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which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provides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eligible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countries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with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up-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front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grants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relief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IMF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debt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service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falling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due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CCRT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proved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effective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during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2014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Ebola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outbreak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but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now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underfunded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with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just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over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$200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million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available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against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possible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needs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over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$1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billion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I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called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member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countries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help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ensure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facility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fully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re-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charged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ready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crisis.</w:t>
      </w:r>
    </w:p>
    <w:p w:rsidR="006A537E" w:rsidRPr="006A537E" w:rsidRDefault="006A537E" w:rsidP="006A537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Fund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fully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committed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supporting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our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member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countries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particularly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most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vulnerable;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have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tools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help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; and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are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coordinating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closely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with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our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partner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institutions</w:t>
      </w:r>
      <w:proofErr w:type="spellEnd"/>
      <w:r w:rsidRPr="006A537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7A56BB" w:rsidRDefault="007A56BB">
      <w:bookmarkStart w:id="0" w:name="_GoBack"/>
      <w:bookmarkEnd w:id="0"/>
    </w:p>
    <w:sectPr w:rsidR="007A5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037C"/>
    <w:multiLevelType w:val="multilevel"/>
    <w:tmpl w:val="BFEC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AB1BE2"/>
    <w:multiLevelType w:val="multilevel"/>
    <w:tmpl w:val="CA4A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7E"/>
    <w:rsid w:val="006A537E"/>
    <w:rsid w:val="007A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6821">
          <w:marLeft w:val="0"/>
          <w:marRight w:val="0"/>
          <w:marTop w:val="600"/>
          <w:marBottom w:val="600"/>
          <w:divBdr>
            <w:top w:val="single" w:sz="24" w:space="30" w:color="CCCCCC"/>
            <w:left w:val="none" w:sz="0" w:space="0" w:color="auto"/>
            <w:bottom w:val="single" w:sz="24" w:space="30" w:color="CCCCCC"/>
            <w:right w:val="none" w:sz="0" w:space="0" w:color="auto"/>
          </w:divBdr>
        </w:div>
      </w:divsChild>
    </w:div>
    <w:div w:id="1295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1</cp:revision>
  <dcterms:created xsi:type="dcterms:W3CDTF">2020-03-04T23:36:00Z</dcterms:created>
  <dcterms:modified xsi:type="dcterms:W3CDTF">2020-03-04T23:40:00Z</dcterms:modified>
</cp:coreProperties>
</file>