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5FD" w:rsidRPr="00D755FD" w:rsidRDefault="00D755FD" w:rsidP="00D755FD">
      <w:pPr>
        <w:shd w:val="clear" w:color="auto" w:fill="FFFFFF"/>
        <w:spacing w:after="0" w:line="240" w:lineRule="auto"/>
        <w:outlineLvl w:val="0"/>
        <w:rPr>
          <w:rFonts w:ascii="Times New Roman" w:eastAsia="Times New Roman" w:hAnsi="Times New Roman" w:cs="Times New Roman"/>
          <w:b/>
          <w:color w:val="333333"/>
          <w:kern w:val="36"/>
          <w:sz w:val="36"/>
          <w:szCs w:val="24"/>
          <w:lang w:eastAsia="es-ES"/>
        </w:rPr>
      </w:pPr>
      <w:r w:rsidRPr="00D755FD">
        <w:rPr>
          <w:rFonts w:ascii="Times New Roman" w:eastAsia="Times New Roman" w:hAnsi="Times New Roman" w:cs="Times New Roman"/>
          <w:b/>
          <w:color w:val="333333"/>
          <w:kern w:val="36"/>
          <w:sz w:val="36"/>
          <w:szCs w:val="24"/>
          <w:bdr w:val="none" w:sz="0" w:space="0" w:color="auto" w:frame="1"/>
          <w:lang w:eastAsia="es-ES"/>
        </w:rPr>
        <w:t>Un régimen cambiario apropiado para Bolivia</w:t>
      </w:r>
    </w:p>
    <w:p w:rsidR="00D755FD" w:rsidRDefault="00D755FD" w:rsidP="00D755FD">
      <w:pPr>
        <w:pBdr>
          <w:bottom w:val="single" w:sz="6" w:space="4" w:color="F2F2F2"/>
        </w:pBdr>
        <w:shd w:val="clear" w:color="auto" w:fill="FFFFFF"/>
        <w:spacing w:after="0" w:line="240" w:lineRule="auto"/>
        <w:rPr>
          <w:rFonts w:ascii="Times New Roman" w:eastAsia="Times New Roman" w:hAnsi="Times New Roman" w:cs="Times New Roman"/>
          <w:color w:val="888888"/>
          <w:sz w:val="24"/>
          <w:szCs w:val="24"/>
          <w:bdr w:val="none" w:sz="0" w:space="0" w:color="auto" w:frame="1"/>
          <w:lang w:eastAsia="es-ES"/>
        </w:rPr>
      </w:pPr>
    </w:p>
    <w:p w:rsidR="00D755FD" w:rsidRPr="00D755FD" w:rsidRDefault="00D755FD" w:rsidP="00D755FD">
      <w:pPr>
        <w:pBdr>
          <w:bottom w:val="single" w:sz="6" w:space="4" w:color="F2F2F2"/>
        </w:pBdr>
        <w:shd w:val="clear" w:color="auto" w:fill="FFFFFF"/>
        <w:spacing w:after="0" w:line="240" w:lineRule="auto"/>
        <w:rPr>
          <w:rFonts w:ascii="Times New Roman" w:eastAsia="Times New Roman" w:hAnsi="Times New Roman" w:cs="Times New Roman"/>
          <w:color w:val="888888"/>
          <w:sz w:val="24"/>
          <w:szCs w:val="24"/>
          <w:lang w:eastAsia="es-ES"/>
        </w:rPr>
      </w:pPr>
      <w:r w:rsidRPr="00D755FD">
        <w:rPr>
          <w:rFonts w:ascii="Times New Roman" w:eastAsia="Times New Roman" w:hAnsi="Times New Roman" w:cs="Times New Roman"/>
          <w:color w:val="888888"/>
          <w:sz w:val="24"/>
          <w:szCs w:val="24"/>
          <w:bdr w:val="none" w:sz="0" w:space="0" w:color="auto" w:frame="1"/>
          <w:lang w:eastAsia="es-ES"/>
        </w:rPr>
        <w:t>17 junio, 2019</w:t>
      </w:r>
      <w:r w:rsidRPr="00D755FD">
        <w:rPr>
          <w:rFonts w:ascii="Times New Roman" w:eastAsia="Times New Roman" w:hAnsi="Times New Roman" w:cs="Times New Roman"/>
          <w:color w:val="888888"/>
          <w:sz w:val="24"/>
          <w:szCs w:val="24"/>
          <w:lang w:eastAsia="es-ES"/>
        </w:rPr>
        <w:t> </w:t>
      </w:r>
      <w:hyperlink r:id="rId6" w:history="1">
        <w:r w:rsidRPr="00D755FD">
          <w:rPr>
            <w:rFonts w:ascii="Times New Roman" w:eastAsia="Times New Roman" w:hAnsi="Times New Roman" w:cs="Times New Roman"/>
            <w:color w:val="888888"/>
            <w:sz w:val="24"/>
            <w:szCs w:val="24"/>
            <w:bdr w:val="none" w:sz="0" w:space="0" w:color="auto" w:frame="1"/>
            <w:lang w:eastAsia="es-ES"/>
          </w:rPr>
          <w:t>Internacional</w:t>
        </w:r>
      </w:hyperlink>
      <w:r w:rsidRPr="00D755FD">
        <w:rPr>
          <w:rFonts w:ascii="Times New Roman" w:eastAsia="Times New Roman" w:hAnsi="Times New Roman" w:cs="Times New Roman"/>
          <w:color w:val="888888"/>
          <w:sz w:val="24"/>
          <w:szCs w:val="24"/>
          <w:bdr w:val="none" w:sz="0" w:space="0" w:color="auto" w:frame="1"/>
          <w:lang w:eastAsia="es-ES"/>
        </w:rPr>
        <w:t>, </w:t>
      </w:r>
      <w:hyperlink r:id="rId7" w:history="1">
        <w:r w:rsidRPr="00D755FD">
          <w:rPr>
            <w:rFonts w:ascii="Times New Roman" w:eastAsia="Times New Roman" w:hAnsi="Times New Roman" w:cs="Times New Roman"/>
            <w:color w:val="888888"/>
            <w:sz w:val="24"/>
            <w:szCs w:val="24"/>
            <w:bdr w:val="none" w:sz="0" w:space="0" w:color="auto" w:frame="1"/>
            <w:lang w:eastAsia="es-ES"/>
          </w:rPr>
          <w:t>Macroeconomía</w:t>
        </w:r>
      </w:hyperlink>
      <w:r w:rsidRPr="00D755FD">
        <w:rPr>
          <w:rFonts w:ascii="Times New Roman" w:eastAsia="Times New Roman" w:hAnsi="Times New Roman" w:cs="Times New Roman"/>
          <w:color w:val="888888"/>
          <w:sz w:val="24"/>
          <w:szCs w:val="24"/>
          <w:bdr w:val="none" w:sz="0" w:space="0" w:color="auto" w:frame="1"/>
          <w:lang w:eastAsia="es-ES"/>
        </w:rPr>
        <w:t>, </w:t>
      </w:r>
      <w:hyperlink r:id="rId8" w:history="1">
        <w:r w:rsidRPr="00D755FD">
          <w:rPr>
            <w:rFonts w:ascii="Times New Roman" w:eastAsia="Times New Roman" w:hAnsi="Times New Roman" w:cs="Times New Roman"/>
            <w:color w:val="888888"/>
            <w:sz w:val="24"/>
            <w:szCs w:val="24"/>
            <w:bdr w:val="none" w:sz="0" w:space="0" w:color="auto" w:frame="1"/>
            <w:lang w:eastAsia="es-ES"/>
          </w:rPr>
          <w:t>Monetaria</w:t>
        </w:r>
      </w:hyperlink>
      <w:r w:rsidRPr="00D755FD">
        <w:rPr>
          <w:rFonts w:ascii="Times New Roman" w:eastAsia="Times New Roman" w:hAnsi="Times New Roman" w:cs="Times New Roman"/>
          <w:color w:val="888888"/>
          <w:sz w:val="24"/>
          <w:szCs w:val="24"/>
          <w:lang w:eastAsia="es-ES"/>
        </w:rPr>
        <w:t> </w:t>
      </w:r>
      <w:r w:rsidRPr="00D755FD">
        <w:rPr>
          <w:rFonts w:ascii="Times New Roman" w:eastAsia="Times New Roman" w:hAnsi="Times New Roman" w:cs="Times New Roman"/>
          <w:color w:val="888888"/>
          <w:sz w:val="24"/>
          <w:szCs w:val="24"/>
          <w:bdr w:val="none" w:sz="0" w:space="0" w:color="auto" w:frame="1"/>
          <w:lang w:eastAsia="es-ES"/>
        </w:rPr>
        <w:t xml:space="preserve">Comentarios </w:t>
      </w:r>
      <w:proofErr w:type="spellStart"/>
      <w:r w:rsidRPr="00D755FD">
        <w:rPr>
          <w:rFonts w:ascii="Times New Roman" w:eastAsia="Times New Roman" w:hAnsi="Times New Roman" w:cs="Times New Roman"/>
          <w:color w:val="888888"/>
          <w:sz w:val="24"/>
          <w:szCs w:val="24"/>
          <w:bdr w:val="none" w:sz="0" w:space="0" w:color="auto" w:frame="1"/>
          <w:lang w:eastAsia="es-ES"/>
        </w:rPr>
        <w:t>desactivadosen</w:t>
      </w:r>
      <w:proofErr w:type="spellEnd"/>
      <w:r w:rsidRPr="00D755FD">
        <w:rPr>
          <w:rFonts w:ascii="Times New Roman" w:eastAsia="Times New Roman" w:hAnsi="Times New Roman" w:cs="Times New Roman"/>
          <w:color w:val="888888"/>
          <w:sz w:val="24"/>
          <w:szCs w:val="24"/>
          <w:bdr w:val="none" w:sz="0" w:space="0" w:color="auto" w:frame="1"/>
          <w:lang w:eastAsia="es-ES"/>
        </w:rPr>
        <w:t xml:space="preserve"> Un régimen cambiario apropiado para Bolivia</w:t>
      </w:r>
      <w:r w:rsidRPr="00D755FD">
        <w:rPr>
          <w:rFonts w:ascii="Times New Roman" w:eastAsia="Times New Roman" w:hAnsi="Times New Roman" w:cs="Times New Roman"/>
          <w:color w:val="888888"/>
          <w:sz w:val="24"/>
          <w:szCs w:val="24"/>
          <w:lang w:eastAsia="es-ES"/>
        </w:rPr>
        <w:t> </w:t>
      </w:r>
      <w:r w:rsidRPr="00D755FD">
        <w:rPr>
          <w:rFonts w:ascii="Times New Roman" w:eastAsia="Times New Roman" w:hAnsi="Times New Roman" w:cs="Times New Roman"/>
          <w:color w:val="888888"/>
          <w:sz w:val="24"/>
          <w:szCs w:val="24"/>
          <w:bdr w:val="none" w:sz="0" w:space="0" w:color="auto" w:frame="1"/>
          <w:lang w:eastAsia="es-ES"/>
        </w:rPr>
        <w:t xml:space="preserve">3,577 </w:t>
      </w:r>
      <w:proofErr w:type="spellStart"/>
      <w:r w:rsidRPr="00D755FD">
        <w:rPr>
          <w:rFonts w:ascii="Times New Roman" w:eastAsia="Times New Roman" w:hAnsi="Times New Roman" w:cs="Times New Roman"/>
          <w:color w:val="888888"/>
          <w:sz w:val="24"/>
          <w:szCs w:val="24"/>
          <w:bdr w:val="none" w:sz="0" w:space="0" w:color="auto" w:frame="1"/>
          <w:lang w:eastAsia="es-ES"/>
        </w:rPr>
        <w:t>Views</w:t>
      </w:r>
      <w:proofErr w:type="spellEnd"/>
    </w:p>
    <w:p w:rsidR="00D755FD" w:rsidRPr="00D755FD" w:rsidRDefault="00D755FD" w:rsidP="00D755FD">
      <w:pPr>
        <w:shd w:val="clear" w:color="auto" w:fill="FFFFFF"/>
        <w:spacing w:after="0" w:line="330" w:lineRule="atLeast"/>
        <w:jc w:val="both"/>
        <w:rPr>
          <w:rFonts w:ascii="Times New Roman" w:eastAsia="Times New Roman" w:hAnsi="Times New Roman" w:cs="Times New Roman"/>
          <w:color w:val="333333"/>
          <w:sz w:val="24"/>
          <w:szCs w:val="24"/>
          <w:lang w:eastAsia="es-ES"/>
        </w:rPr>
      </w:pPr>
      <w:r w:rsidRPr="00D755FD">
        <w:rPr>
          <w:rFonts w:ascii="Times New Roman" w:eastAsia="Times New Roman" w:hAnsi="Times New Roman" w:cs="Times New Roman"/>
          <w:b/>
          <w:bCs/>
          <w:i/>
          <w:iCs/>
          <w:color w:val="333333"/>
          <w:sz w:val="24"/>
          <w:szCs w:val="24"/>
          <w:bdr w:val="none" w:sz="0" w:space="0" w:color="auto" w:frame="1"/>
          <w:lang w:eastAsia="es-ES"/>
        </w:rPr>
        <w:t>Por:</w:t>
      </w:r>
      <w:r w:rsidRPr="00D755FD">
        <w:rPr>
          <w:rFonts w:ascii="Times New Roman" w:eastAsia="Times New Roman" w:hAnsi="Times New Roman" w:cs="Times New Roman"/>
          <w:i/>
          <w:iCs/>
          <w:color w:val="333333"/>
          <w:sz w:val="24"/>
          <w:szCs w:val="24"/>
          <w:bdr w:val="none" w:sz="0" w:space="0" w:color="auto" w:frame="1"/>
          <w:lang w:eastAsia="es-ES"/>
        </w:rPr>
        <w:t xml:space="preserve"> Luis Carlos </w:t>
      </w:r>
      <w:proofErr w:type="spellStart"/>
      <w:r w:rsidRPr="00D755FD">
        <w:rPr>
          <w:rFonts w:ascii="Times New Roman" w:eastAsia="Times New Roman" w:hAnsi="Times New Roman" w:cs="Times New Roman"/>
          <w:i/>
          <w:iCs/>
          <w:color w:val="333333"/>
          <w:sz w:val="24"/>
          <w:szCs w:val="24"/>
          <w:bdr w:val="none" w:sz="0" w:space="0" w:color="auto" w:frame="1"/>
          <w:lang w:eastAsia="es-ES"/>
        </w:rPr>
        <w:t>Jemio</w:t>
      </w:r>
      <w:proofErr w:type="spellEnd"/>
      <w:r w:rsidRPr="00D755FD">
        <w:rPr>
          <w:rFonts w:ascii="Times New Roman" w:eastAsia="Times New Roman" w:hAnsi="Times New Roman" w:cs="Times New Roman"/>
          <w:i/>
          <w:iCs/>
          <w:color w:val="333333"/>
          <w:sz w:val="24"/>
          <w:szCs w:val="24"/>
          <w:bdr w:val="none" w:sz="0" w:space="0" w:color="auto" w:frame="1"/>
          <w:lang w:eastAsia="es-ES"/>
        </w:rPr>
        <w:t xml:space="preserve"> Ph.D.*</w:t>
      </w:r>
    </w:p>
    <w:p w:rsidR="00D755FD" w:rsidRDefault="00D755FD" w:rsidP="00D755FD">
      <w:pPr>
        <w:shd w:val="clear" w:color="auto" w:fill="FFFFFF"/>
        <w:spacing w:after="300" w:line="330" w:lineRule="atLeast"/>
        <w:jc w:val="both"/>
        <w:rPr>
          <w:rFonts w:ascii="Times New Roman" w:eastAsia="Times New Roman" w:hAnsi="Times New Roman" w:cs="Times New Roman"/>
          <w:color w:val="333333"/>
          <w:sz w:val="24"/>
          <w:szCs w:val="24"/>
          <w:lang w:eastAsia="es-ES"/>
        </w:rPr>
      </w:pPr>
    </w:p>
    <w:p w:rsidR="00D755FD" w:rsidRPr="00D755FD" w:rsidRDefault="00D755FD" w:rsidP="00D755FD">
      <w:pPr>
        <w:shd w:val="clear" w:color="auto" w:fill="FFFFFF"/>
        <w:spacing w:after="300" w:line="330" w:lineRule="atLeast"/>
        <w:jc w:val="both"/>
        <w:rPr>
          <w:rFonts w:ascii="Times New Roman" w:eastAsia="Times New Roman" w:hAnsi="Times New Roman" w:cs="Times New Roman"/>
          <w:color w:val="333333"/>
          <w:sz w:val="24"/>
          <w:szCs w:val="24"/>
          <w:lang w:eastAsia="es-ES"/>
        </w:rPr>
      </w:pPr>
      <w:r w:rsidRPr="00D755FD">
        <w:rPr>
          <w:rFonts w:ascii="Times New Roman" w:eastAsia="Times New Roman" w:hAnsi="Times New Roman" w:cs="Times New Roman"/>
          <w:color w:val="333333"/>
          <w:sz w:val="24"/>
          <w:szCs w:val="24"/>
          <w:lang w:eastAsia="es-ES"/>
        </w:rPr>
        <w:t>Existe un debate en Bolivia sobre cuál es la política cambiaria adecuada para el país. El Banco Central ha mantenido el tipo de cambio fijo durante prácticamente toda la década actual.  A pesar que la inflación se ha ido reduciendo, esta política ha resultado en una apreciación considerable del tipo de cambio real, debido a que la mayor parte de los socios comerciales del país han adoptado tipos de cambio flexibles. Como puede verse en el gráfico, la tasa de inflación se ha ido reduciendo paulatinamente, y a partir de 2015 ha permanecido invariablemente por debajo de 5% al año. La inflación a 12 meses medida en enero de 2019, es de solo 1,43%. Por otra parte, el tipo de cambio real multilateral (TCRM), que mide en forma comparada la devaluación e inflación en Bolivia en relación a la devaluación e inflación de nuestros socios comerciales, ha tendido a apreciarse significativamente. Esto le quita competitividad a la economía y en especial al sector productor de bienes transables. En agosto de 2015 la tasa de apreciación cambiaria real a 12 meses era de 14,3%, en un momento en que la inflación llegaba a solo 3,2%. Las devaluaciones del tipo de cambio nominal por parte de los socios comerciales, como consecuencia de la caída de los precios de exportación de materias primas, explica este comportamiento.</w:t>
      </w:r>
    </w:p>
    <w:p w:rsidR="00D755FD" w:rsidRPr="00D755FD" w:rsidRDefault="00D755FD" w:rsidP="00D755FD">
      <w:pPr>
        <w:shd w:val="clear" w:color="auto" w:fill="FFFFFF"/>
        <w:spacing w:after="300" w:line="330" w:lineRule="atLeast"/>
        <w:jc w:val="both"/>
        <w:rPr>
          <w:rFonts w:ascii="Times New Roman" w:eastAsia="Times New Roman" w:hAnsi="Times New Roman" w:cs="Times New Roman"/>
          <w:color w:val="333333"/>
          <w:sz w:val="24"/>
          <w:szCs w:val="24"/>
          <w:lang w:eastAsia="es-ES"/>
        </w:rPr>
      </w:pPr>
      <w:r w:rsidRPr="00D755FD">
        <w:rPr>
          <w:rFonts w:ascii="Times New Roman" w:eastAsia="Times New Roman" w:hAnsi="Times New Roman" w:cs="Times New Roman"/>
          <w:color w:val="333333"/>
          <w:sz w:val="24"/>
          <w:szCs w:val="24"/>
          <w:lang w:eastAsia="es-ES"/>
        </w:rPr>
        <w:t>En el periodo comprendido entre la segunda mitad de 2016 y primer trimestre de 2018, el TCRM tendió a depreciarse, esta vez debido a la apreciación cambiaria nominal observada en los socios comerciales. Sin embargo, a partir del segundo trimestre de 2018 nuevamente se produce una apreciación cambiaria, esta vez debido a la devaluación nominal de nuestros socios comerciales. En enero 2019, la tasa de apreciación cambiaria real llegó a 6,6%. En síntesis, dadas las condiciones actuales, la apreciación o depreciación real del tipo de cambio en Bolivia depende de la apreciación o depreciación del tipo de cambio por parte de los socios comerciales del país.</w:t>
      </w:r>
    </w:p>
    <w:p w:rsidR="00D755FD" w:rsidRDefault="00D755FD" w:rsidP="00D755FD">
      <w:pPr>
        <w:shd w:val="clear" w:color="auto" w:fill="FFFFFF"/>
        <w:spacing w:after="0" w:line="330" w:lineRule="atLeast"/>
        <w:jc w:val="center"/>
        <w:rPr>
          <w:rFonts w:ascii="Times New Roman" w:eastAsia="Times New Roman" w:hAnsi="Times New Roman" w:cs="Times New Roman"/>
          <w:b/>
          <w:bCs/>
          <w:color w:val="333333"/>
          <w:sz w:val="24"/>
          <w:szCs w:val="24"/>
          <w:bdr w:val="none" w:sz="0" w:space="0" w:color="auto" w:frame="1"/>
          <w:lang w:eastAsia="es-ES"/>
        </w:rPr>
      </w:pPr>
    </w:p>
    <w:p w:rsidR="00D755FD" w:rsidRDefault="00D755FD" w:rsidP="00D755FD">
      <w:pPr>
        <w:shd w:val="clear" w:color="auto" w:fill="FFFFFF"/>
        <w:spacing w:after="0" w:line="330" w:lineRule="atLeast"/>
        <w:jc w:val="center"/>
        <w:rPr>
          <w:rFonts w:ascii="Times New Roman" w:eastAsia="Times New Roman" w:hAnsi="Times New Roman" w:cs="Times New Roman"/>
          <w:b/>
          <w:bCs/>
          <w:color w:val="333333"/>
          <w:sz w:val="24"/>
          <w:szCs w:val="24"/>
          <w:bdr w:val="none" w:sz="0" w:space="0" w:color="auto" w:frame="1"/>
          <w:lang w:eastAsia="es-ES"/>
        </w:rPr>
      </w:pPr>
    </w:p>
    <w:p w:rsidR="00D755FD" w:rsidRDefault="00D755FD" w:rsidP="00D755FD">
      <w:pPr>
        <w:shd w:val="clear" w:color="auto" w:fill="FFFFFF"/>
        <w:spacing w:after="0" w:line="330" w:lineRule="atLeast"/>
        <w:jc w:val="center"/>
        <w:rPr>
          <w:rFonts w:ascii="Times New Roman" w:eastAsia="Times New Roman" w:hAnsi="Times New Roman" w:cs="Times New Roman"/>
          <w:b/>
          <w:bCs/>
          <w:color w:val="333333"/>
          <w:sz w:val="24"/>
          <w:szCs w:val="24"/>
          <w:bdr w:val="none" w:sz="0" w:space="0" w:color="auto" w:frame="1"/>
          <w:lang w:eastAsia="es-ES"/>
        </w:rPr>
      </w:pPr>
    </w:p>
    <w:p w:rsidR="00D755FD" w:rsidRDefault="00D755FD" w:rsidP="00D755FD">
      <w:pPr>
        <w:shd w:val="clear" w:color="auto" w:fill="FFFFFF"/>
        <w:spacing w:after="0" w:line="330" w:lineRule="atLeast"/>
        <w:jc w:val="center"/>
        <w:rPr>
          <w:rFonts w:ascii="Times New Roman" w:eastAsia="Times New Roman" w:hAnsi="Times New Roman" w:cs="Times New Roman"/>
          <w:b/>
          <w:bCs/>
          <w:color w:val="333333"/>
          <w:sz w:val="24"/>
          <w:szCs w:val="24"/>
          <w:bdr w:val="none" w:sz="0" w:space="0" w:color="auto" w:frame="1"/>
          <w:lang w:eastAsia="es-ES"/>
        </w:rPr>
      </w:pPr>
    </w:p>
    <w:p w:rsidR="00D755FD" w:rsidRDefault="00D755FD" w:rsidP="00D755FD">
      <w:pPr>
        <w:shd w:val="clear" w:color="auto" w:fill="FFFFFF"/>
        <w:spacing w:after="0" w:line="330" w:lineRule="atLeast"/>
        <w:jc w:val="center"/>
        <w:rPr>
          <w:rFonts w:ascii="Times New Roman" w:eastAsia="Times New Roman" w:hAnsi="Times New Roman" w:cs="Times New Roman"/>
          <w:b/>
          <w:bCs/>
          <w:color w:val="333333"/>
          <w:sz w:val="24"/>
          <w:szCs w:val="24"/>
          <w:bdr w:val="none" w:sz="0" w:space="0" w:color="auto" w:frame="1"/>
          <w:lang w:eastAsia="es-ES"/>
        </w:rPr>
      </w:pPr>
    </w:p>
    <w:p w:rsidR="00D755FD" w:rsidRDefault="00D755FD" w:rsidP="00D755FD">
      <w:pPr>
        <w:shd w:val="clear" w:color="auto" w:fill="FFFFFF"/>
        <w:spacing w:after="0" w:line="330" w:lineRule="atLeast"/>
        <w:jc w:val="center"/>
        <w:rPr>
          <w:rFonts w:ascii="Times New Roman" w:eastAsia="Times New Roman" w:hAnsi="Times New Roman" w:cs="Times New Roman"/>
          <w:b/>
          <w:bCs/>
          <w:color w:val="333333"/>
          <w:sz w:val="24"/>
          <w:szCs w:val="24"/>
          <w:bdr w:val="none" w:sz="0" w:space="0" w:color="auto" w:frame="1"/>
          <w:lang w:eastAsia="es-ES"/>
        </w:rPr>
      </w:pPr>
    </w:p>
    <w:p w:rsidR="00D755FD" w:rsidRDefault="00D755FD" w:rsidP="00D755FD">
      <w:pPr>
        <w:shd w:val="clear" w:color="auto" w:fill="FFFFFF"/>
        <w:spacing w:after="0" w:line="330" w:lineRule="atLeast"/>
        <w:jc w:val="center"/>
        <w:rPr>
          <w:rFonts w:ascii="Times New Roman" w:eastAsia="Times New Roman" w:hAnsi="Times New Roman" w:cs="Times New Roman"/>
          <w:b/>
          <w:bCs/>
          <w:color w:val="333333"/>
          <w:sz w:val="24"/>
          <w:szCs w:val="24"/>
          <w:bdr w:val="none" w:sz="0" w:space="0" w:color="auto" w:frame="1"/>
          <w:lang w:eastAsia="es-ES"/>
        </w:rPr>
      </w:pPr>
    </w:p>
    <w:p w:rsidR="00D755FD" w:rsidRDefault="00D755FD" w:rsidP="00D755FD">
      <w:pPr>
        <w:shd w:val="clear" w:color="auto" w:fill="FFFFFF"/>
        <w:spacing w:after="0" w:line="330" w:lineRule="atLeast"/>
        <w:jc w:val="center"/>
        <w:rPr>
          <w:rFonts w:ascii="Times New Roman" w:eastAsia="Times New Roman" w:hAnsi="Times New Roman" w:cs="Times New Roman"/>
          <w:b/>
          <w:bCs/>
          <w:color w:val="333333"/>
          <w:sz w:val="24"/>
          <w:szCs w:val="24"/>
          <w:bdr w:val="none" w:sz="0" w:space="0" w:color="auto" w:frame="1"/>
          <w:lang w:eastAsia="es-ES"/>
        </w:rPr>
      </w:pPr>
    </w:p>
    <w:p w:rsidR="00D755FD" w:rsidRDefault="00D755FD" w:rsidP="00D755FD">
      <w:pPr>
        <w:shd w:val="clear" w:color="auto" w:fill="FFFFFF"/>
        <w:spacing w:after="0" w:line="330" w:lineRule="atLeast"/>
        <w:jc w:val="center"/>
        <w:rPr>
          <w:rFonts w:ascii="Times New Roman" w:eastAsia="Times New Roman" w:hAnsi="Times New Roman" w:cs="Times New Roman"/>
          <w:b/>
          <w:bCs/>
          <w:color w:val="333333"/>
          <w:sz w:val="24"/>
          <w:szCs w:val="24"/>
          <w:bdr w:val="none" w:sz="0" w:space="0" w:color="auto" w:frame="1"/>
          <w:lang w:eastAsia="es-ES"/>
        </w:rPr>
      </w:pPr>
    </w:p>
    <w:p w:rsidR="00D755FD" w:rsidRDefault="00D755FD" w:rsidP="00D755FD">
      <w:pPr>
        <w:shd w:val="clear" w:color="auto" w:fill="FFFFFF"/>
        <w:spacing w:after="0" w:line="330" w:lineRule="atLeast"/>
        <w:jc w:val="center"/>
        <w:rPr>
          <w:rFonts w:ascii="Times New Roman" w:eastAsia="Times New Roman" w:hAnsi="Times New Roman" w:cs="Times New Roman"/>
          <w:b/>
          <w:bCs/>
          <w:color w:val="333333"/>
          <w:sz w:val="24"/>
          <w:szCs w:val="24"/>
          <w:bdr w:val="none" w:sz="0" w:space="0" w:color="auto" w:frame="1"/>
          <w:lang w:eastAsia="es-ES"/>
        </w:rPr>
      </w:pPr>
    </w:p>
    <w:p w:rsidR="00D755FD" w:rsidRPr="00D755FD" w:rsidRDefault="00D755FD" w:rsidP="00D755FD">
      <w:pPr>
        <w:shd w:val="clear" w:color="auto" w:fill="FFFFFF"/>
        <w:spacing w:after="0" w:line="330" w:lineRule="atLeast"/>
        <w:jc w:val="center"/>
        <w:rPr>
          <w:rFonts w:ascii="Times New Roman" w:eastAsia="Times New Roman" w:hAnsi="Times New Roman" w:cs="Times New Roman"/>
          <w:color w:val="333333"/>
          <w:sz w:val="24"/>
          <w:szCs w:val="24"/>
          <w:lang w:eastAsia="es-ES"/>
        </w:rPr>
      </w:pPr>
      <w:r w:rsidRPr="00D755FD">
        <w:rPr>
          <w:rFonts w:ascii="Times New Roman" w:eastAsia="Times New Roman" w:hAnsi="Times New Roman" w:cs="Times New Roman"/>
          <w:b/>
          <w:bCs/>
          <w:color w:val="333333"/>
          <w:sz w:val="24"/>
          <w:szCs w:val="24"/>
          <w:bdr w:val="none" w:sz="0" w:space="0" w:color="auto" w:frame="1"/>
          <w:lang w:eastAsia="es-ES"/>
        </w:rPr>
        <w:t>Gráfico 1: Tipo de cambio nominal, real e inflación </w:t>
      </w:r>
      <w:r w:rsidRPr="00D755FD">
        <w:rPr>
          <w:rFonts w:ascii="Times New Roman" w:eastAsia="Times New Roman" w:hAnsi="Times New Roman" w:cs="Times New Roman"/>
          <w:b/>
          <w:bCs/>
          <w:i/>
          <w:iCs/>
          <w:color w:val="333333"/>
          <w:sz w:val="24"/>
          <w:szCs w:val="24"/>
          <w:bdr w:val="none" w:sz="0" w:space="0" w:color="auto" w:frame="1"/>
          <w:lang w:eastAsia="es-ES"/>
        </w:rPr>
        <w:t>(tasas de variación porcentual a 12 meses)</w:t>
      </w:r>
    </w:p>
    <w:p w:rsidR="00D755FD" w:rsidRPr="00D755FD" w:rsidRDefault="00D755FD" w:rsidP="00D755FD">
      <w:pPr>
        <w:shd w:val="clear" w:color="auto" w:fill="FFFFFF"/>
        <w:spacing w:after="0" w:line="330" w:lineRule="atLeast"/>
        <w:rPr>
          <w:rFonts w:ascii="Times New Roman" w:eastAsia="Times New Roman" w:hAnsi="Times New Roman" w:cs="Times New Roman"/>
          <w:color w:val="333333"/>
          <w:sz w:val="24"/>
          <w:szCs w:val="24"/>
          <w:lang w:eastAsia="es-ES"/>
        </w:rPr>
      </w:pPr>
      <w:r w:rsidRPr="00D755FD">
        <w:rPr>
          <w:rFonts w:ascii="Times New Roman" w:eastAsia="Times New Roman" w:hAnsi="Times New Roman" w:cs="Times New Roman"/>
          <w:noProof/>
          <w:color w:val="333333"/>
          <w:sz w:val="24"/>
          <w:szCs w:val="24"/>
          <w:lang w:eastAsia="es-ES"/>
        </w:rPr>
        <w:lastRenderedPageBreak/>
        <w:drawing>
          <wp:inline distT="0" distB="0" distL="0" distR="0" wp14:anchorId="1AD39279" wp14:editId="41A6FE01">
            <wp:extent cx="5760720" cy="3436620"/>
            <wp:effectExtent l="0" t="0" r="0" b="0"/>
            <wp:docPr id="2" name="Imagen 2" descr="https://inesad.edu.bo/dslm/wp-content/uploads/2019/06/WhatsApp-Image-2019-06-17-at-18.20.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esad.edu.bo/dslm/wp-content/uploads/2019/06/WhatsApp-Image-2019-06-17-at-18.20.19.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436620"/>
                    </a:xfrm>
                    <a:prstGeom prst="rect">
                      <a:avLst/>
                    </a:prstGeom>
                    <a:noFill/>
                    <a:ln>
                      <a:noFill/>
                    </a:ln>
                  </pic:spPr>
                </pic:pic>
              </a:graphicData>
            </a:graphic>
          </wp:inline>
        </w:drawing>
      </w:r>
      <w:r w:rsidRPr="00D755FD">
        <w:rPr>
          <w:rFonts w:ascii="Times New Roman" w:eastAsia="Times New Roman" w:hAnsi="Times New Roman" w:cs="Times New Roman"/>
          <w:b/>
          <w:bCs/>
          <w:i/>
          <w:iCs/>
          <w:color w:val="333333"/>
          <w:sz w:val="24"/>
          <w:szCs w:val="24"/>
          <w:bdr w:val="none" w:sz="0" w:space="0" w:color="auto" w:frame="1"/>
          <w:lang w:eastAsia="es-ES"/>
        </w:rPr>
        <w:t>Fuente:</w:t>
      </w:r>
      <w:r w:rsidRPr="00D755FD">
        <w:rPr>
          <w:rFonts w:ascii="Times New Roman" w:eastAsia="Times New Roman" w:hAnsi="Times New Roman" w:cs="Times New Roman"/>
          <w:i/>
          <w:iCs/>
          <w:color w:val="333333"/>
          <w:sz w:val="24"/>
          <w:szCs w:val="24"/>
          <w:bdr w:val="none" w:sz="0" w:space="0" w:color="auto" w:frame="1"/>
          <w:lang w:eastAsia="es-ES"/>
        </w:rPr>
        <w:t> Elaborado en base a información del BCB e INE.</w:t>
      </w:r>
    </w:p>
    <w:p w:rsidR="00D755FD" w:rsidRPr="00D755FD" w:rsidRDefault="00D755FD" w:rsidP="00D755FD">
      <w:pPr>
        <w:shd w:val="clear" w:color="auto" w:fill="FFFFFF"/>
        <w:spacing w:after="0" w:line="330" w:lineRule="atLeast"/>
        <w:jc w:val="both"/>
        <w:rPr>
          <w:rFonts w:ascii="Times New Roman" w:eastAsia="Times New Roman" w:hAnsi="Times New Roman" w:cs="Times New Roman"/>
          <w:color w:val="333333"/>
          <w:sz w:val="24"/>
          <w:szCs w:val="24"/>
          <w:lang w:eastAsia="es-ES"/>
        </w:rPr>
      </w:pPr>
      <w:r w:rsidRPr="00D755FD">
        <w:rPr>
          <w:rFonts w:ascii="Times New Roman" w:eastAsia="Times New Roman" w:hAnsi="Times New Roman" w:cs="Times New Roman"/>
          <w:b/>
          <w:bCs/>
          <w:color w:val="333333"/>
          <w:sz w:val="24"/>
          <w:szCs w:val="24"/>
          <w:bdr w:val="none" w:sz="0" w:space="0" w:color="auto" w:frame="1"/>
          <w:lang w:eastAsia="es-ES"/>
        </w:rPr>
        <w:t>¿Se debería mantener el tipo de cambio fijo?</w:t>
      </w:r>
    </w:p>
    <w:p w:rsidR="00D755FD" w:rsidRPr="00D755FD" w:rsidRDefault="00D755FD" w:rsidP="00D755FD">
      <w:pPr>
        <w:shd w:val="clear" w:color="auto" w:fill="FFFFFF"/>
        <w:spacing w:after="300" w:line="330" w:lineRule="atLeast"/>
        <w:jc w:val="both"/>
        <w:rPr>
          <w:rFonts w:ascii="Times New Roman" w:eastAsia="Times New Roman" w:hAnsi="Times New Roman" w:cs="Times New Roman"/>
          <w:color w:val="333333"/>
          <w:sz w:val="24"/>
          <w:szCs w:val="24"/>
          <w:lang w:eastAsia="es-ES"/>
        </w:rPr>
      </w:pPr>
      <w:r w:rsidRPr="00D755FD">
        <w:rPr>
          <w:rFonts w:ascii="Times New Roman" w:eastAsia="Times New Roman" w:hAnsi="Times New Roman" w:cs="Times New Roman"/>
          <w:color w:val="333333"/>
          <w:sz w:val="24"/>
          <w:szCs w:val="24"/>
          <w:lang w:eastAsia="es-ES"/>
        </w:rPr>
        <w:t>Una modificación del tipo de cambio fijo es vista por el Banco Central como una medida que tendría efectos muy negativos sobre la economía, y en especial sobre el sistema financiero. La devaluación haría que los agentes perciban que el tipo de cambio continuará siendo devaluado en el futuro, y se produciría un ataque contra el boliviano, produciéndose una crisis cambiaria. Además, la devaluación revertiría la desdolarización del sistema financiero, ya que los depositantes cambiarían sus depósitos a dólares. Esto representaría un grave problema para las entidades financieras, que no podrían inmediatamente reestructurar su cartera para calzarla con los depósitos en términos de moneda. Por otra parte, la devaluación traería como consecuencia un aumento en la inflación, lo que reduciría el efecto benéfico de la devaluación sobre el tipo de cambio real. Además, la mayor inflación reduciría el salario real y la actividad económica.</w:t>
      </w:r>
    </w:p>
    <w:p w:rsidR="00D755FD" w:rsidRPr="00D755FD" w:rsidRDefault="00D755FD" w:rsidP="00D755FD">
      <w:pPr>
        <w:shd w:val="clear" w:color="auto" w:fill="FFFFFF"/>
        <w:spacing w:after="300" w:line="330" w:lineRule="atLeast"/>
        <w:jc w:val="both"/>
        <w:rPr>
          <w:rFonts w:ascii="Times New Roman" w:eastAsia="Times New Roman" w:hAnsi="Times New Roman" w:cs="Times New Roman"/>
          <w:color w:val="333333"/>
          <w:sz w:val="24"/>
          <w:szCs w:val="24"/>
          <w:lang w:eastAsia="es-ES"/>
        </w:rPr>
      </w:pPr>
      <w:r w:rsidRPr="00D755FD">
        <w:rPr>
          <w:rFonts w:ascii="Times New Roman" w:eastAsia="Times New Roman" w:hAnsi="Times New Roman" w:cs="Times New Roman"/>
          <w:color w:val="333333"/>
          <w:sz w:val="24"/>
          <w:szCs w:val="24"/>
          <w:lang w:eastAsia="es-ES"/>
        </w:rPr>
        <w:t xml:space="preserve">Sin embargo, mantener el tipo de cambio fijo durante estos años y no implementar un ajuste a las nuevas condiciones externas, ha representado un costo muy alto para la economía. Además de la pérdida de competitividad de los sectores que producen bienes transables, debido a la apreciación cambiaria real, se debe considerar la pérdida de reservas internacionales (RIN) y el mayor endeudamiento adquirido en los últimos años, como costos que podría haberse evitado si se tuviera un tipo de cambio flexible. En efecto, entre diciembre 2014 y mayo 2019 las RIN cayeron en US$ 8.900 millones. A esta pérdida hay que sumarle los traspasos contables que hizo el Banco Central para no mostrar una mayor caída de las RIN, que suman aproximadamente US$ 2.100 millones, como fue el caso del Fondo RAL en moneda extranjera, el Fondo de Revolución Industrial Productiva (FINPRO), los Fondos de Protección al Ahorrista (FPAH), y el Fondo Para la Inversión Exploración y Explotación de Hidrocarburos (FPIEEH). </w:t>
      </w:r>
      <w:r w:rsidRPr="00D755FD">
        <w:rPr>
          <w:rFonts w:ascii="Times New Roman" w:eastAsia="Times New Roman" w:hAnsi="Times New Roman" w:cs="Times New Roman"/>
          <w:color w:val="333333"/>
          <w:sz w:val="24"/>
          <w:szCs w:val="24"/>
          <w:lang w:eastAsia="es-ES"/>
        </w:rPr>
        <w:lastRenderedPageBreak/>
        <w:t>Adicionalmente, se debe incluir el aumento en la deuda externa pública, que subió en US$ 4.400 millones entre diciembre 2014 y marzo 2019.</w:t>
      </w:r>
    </w:p>
    <w:p w:rsidR="00D755FD" w:rsidRPr="00D755FD" w:rsidRDefault="00D755FD" w:rsidP="00D755FD">
      <w:pPr>
        <w:shd w:val="clear" w:color="auto" w:fill="FFFFFF"/>
        <w:spacing w:after="300" w:line="330" w:lineRule="atLeast"/>
        <w:jc w:val="both"/>
        <w:rPr>
          <w:rFonts w:ascii="Times New Roman" w:eastAsia="Times New Roman" w:hAnsi="Times New Roman" w:cs="Times New Roman"/>
          <w:color w:val="333333"/>
          <w:sz w:val="24"/>
          <w:szCs w:val="24"/>
          <w:lang w:eastAsia="es-ES"/>
        </w:rPr>
      </w:pPr>
      <w:r w:rsidRPr="00D755FD">
        <w:rPr>
          <w:rFonts w:ascii="Times New Roman" w:eastAsia="Times New Roman" w:hAnsi="Times New Roman" w:cs="Times New Roman"/>
          <w:color w:val="333333"/>
          <w:sz w:val="24"/>
          <w:szCs w:val="24"/>
          <w:lang w:eastAsia="es-ES"/>
        </w:rPr>
        <w:t>Finalmente, un tipo de cambio fijo representa una pérdida de autonomía monetaria, ya que de acuerdo al principio de la “trinidad imposible”, un país no puede tener al mismo tiempo un tipo de cambio fijo, libre movimiento de capitales y autonomía monetaria. Dado que la economía boliviana tiene las dos primeras condiciones, ha resignado la tercera, que es la autonomía monetaria. Este será el tema de un próximo análisis.</w:t>
      </w:r>
    </w:p>
    <w:p w:rsidR="00D755FD" w:rsidRPr="00D755FD" w:rsidRDefault="00D755FD" w:rsidP="00D755FD">
      <w:pPr>
        <w:shd w:val="clear" w:color="auto" w:fill="FFFFFF"/>
        <w:spacing w:after="0" w:line="330" w:lineRule="atLeast"/>
        <w:jc w:val="both"/>
        <w:rPr>
          <w:rFonts w:ascii="Times New Roman" w:eastAsia="Times New Roman" w:hAnsi="Times New Roman" w:cs="Times New Roman"/>
          <w:color w:val="333333"/>
          <w:sz w:val="24"/>
          <w:szCs w:val="24"/>
          <w:lang w:eastAsia="es-ES"/>
        </w:rPr>
      </w:pPr>
      <w:r w:rsidRPr="00D755FD">
        <w:rPr>
          <w:rFonts w:ascii="Times New Roman" w:eastAsia="Times New Roman" w:hAnsi="Times New Roman" w:cs="Times New Roman"/>
          <w:b/>
          <w:bCs/>
          <w:color w:val="333333"/>
          <w:sz w:val="24"/>
          <w:szCs w:val="24"/>
          <w:bdr w:val="none" w:sz="0" w:space="0" w:color="auto" w:frame="1"/>
          <w:lang w:eastAsia="es-ES"/>
        </w:rPr>
        <w:t>¿Qué factores se deben tomar en cuenta para adoptar un régimen cambiario específico?</w:t>
      </w:r>
    </w:p>
    <w:p w:rsidR="00D755FD" w:rsidRPr="00D755FD" w:rsidRDefault="00D755FD" w:rsidP="00D755FD">
      <w:pPr>
        <w:shd w:val="clear" w:color="auto" w:fill="FFFFFF"/>
        <w:spacing w:after="300" w:line="330" w:lineRule="atLeast"/>
        <w:jc w:val="both"/>
        <w:rPr>
          <w:rFonts w:ascii="Times New Roman" w:eastAsia="Times New Roman" w:hAnsi="Times New Roman" w:cs="Times New Roman"/>
          <w:color w:val="333333"/>
          <w:sz w:val="24"/>
          <w:szCs w:val="24"/>
          <w:lang w:eastAsia="es-ES"/>
        </w:rPr>
      </w:pPr>
      <w:r w:rsidRPr="00D755FD">
        <w:rPr>
          <w:rFonts w:ascii="Times New Roman" w:eastAsia="Times New Roman" w:hAnsi="Times New Roman" w:cs="Times New Roman"/>
          <w:color w:val="333333"/>
          <w:sz w:val="24"/>
          <w:szCs w:val="24"/>
          <w:lang w:eastAsia="es-ES"/>
        </w:rPr>
        <w:t>Aparte de la conveniencia o no de abandonar la política de tipo de cambio fijo que actualmente viene implementando el Banco Central, es importante analizar qué política cambiaria es la más apropiada para el país, dadas las características de la economía. No hay un sistema cambiario perfecto, que es lo mejor depende de las características de la economía en particular. Los factores a considerar son (</w:t>
      </w:r>
      <w:proofErr w:type="spellStart"/>
      <w:r w:rsidRPr="00D755FD">
        <w:rPr>
          <w:rFonts w:ascii="Times New Roman" w:eastAsia="Times New Roman" w:hAnsi="Times New Roman" w:cs="Times New Roman"/>
          <w:color w:val="333333"/>
          <w:sz w:val="24"/>
          <w:szCs w:val="24"/>
          <w:lang w:eastAsia="es-ES"/>
        </w:rPr>
        <w:t>World</w:t>
      </w:r>
      <w:proofErr w:type="spellEnd"/>
      <w:r w:rsidRPr="00D755FD">
        <w:rPr>
          <w:rFonts w:ascii="Times New Roman" w:eastAsia="Times New Roman" w:hAnsi="Times New Roman" w:cs="Times New Roman"/>
          <w:color w:val="333333"/>
          <w:sz w:val="24"/>
          <w:szCs w:val="24"/>
          <w:lang w:eastAsia="es-ES"/>
        </w:rPr>
        <w:t xml:space="preserve"> </w:t>
      </w:r>
      <w:proofErr w:type="spellStart"/>
      <w:r w:rsidRPr="00D755FD">
        <w:rPr>
          <w:rFonts w:ascii="Times New Roman" w:eastAsia="Times New Roman" w:hAnsi="Times New Roman" w:cs="Times New Roman"/>
          <w:color w:val="333333"/>
          <w:sz w:val="24"/>
          <w:szCs w:val="24"/>
          <w:lang w:eastAsia="es-ES"/>
        </w:rPr>
        <w:t>Economic</w:t>
      </w:r>
      <w:proofErr w:type="spellEnd"/>
      <w:r w:rsidRPr="00D755FD">
        <w:rPr>
          <w:rFonts w:ascii="Times New Roman" w:eastAsia="Times New Roman" w:hAnsi="Times New Roman" w:cs="Times New Roman"/>
          <w:color w:val="333333"/>
          <w:sz w:val="24"/>
          <w:szCs w:val="24"/>
          <w:lang w:eastAsia="es-ES"/>
        </w:rPr>
        <w:t xml:space="preserve"> Outlook IMF, 2001):</w:t>
      </w:r>
    </w:p>
    <w:p w:rsidR="00D755FD" w:rsidRPr="00D755FD" w:rsidRDefault="00D755FD" w:rsidP="00D755FD">
      <w:pPr>
        <w:numPr>
          <w:ilvl w:val="0"/>
          <w:numId w:val="1"/>
        </w:numPr>
        <w:shd w:val="clear" w:color="auto" w:fill="FFFFFF"/>
        <w:spacing w:after="0" w:line="330" w:lineRule="atLeast"/>
        <w:ind w:left="225"/>
        <w:jc w:val="both"/>
        <w:rPr>
          <w:rFonts w:ascii="Times New Roman" w:eastAsia="Times New Roman" w:hAnsi="Times New Roman" w:cs="Times New Roman"/>
          <w:color w:val="333333"/>
          <w:sz w:val="24"/>
          <w:szCs w:val="24"/>
          <w:lang w:eastAsia="es-ES"/>
        </w:rPr>
      </w:pPr>
      <w:r w:rsidRPr="00D755FD">
        <w:rPr>
          <w:rFonts w:ascii="Times New Roman" w:eastAsia="Times New Roman" w:hAnsi="Times New Roman" w:cs="Times New Roman"/>
          <w:b/>
          <w:bCs/>
          <w:color w:val="333333"/>
          <w:sz w:val="24"/>
          <w:szCs w:val="24"/>
          <w:bdr w:val="none" w:sz="0" w:space="0" w:color="auto" w:frame="1"/>
          <w:lang w:eastAsia="es-ES"/>
        </w:rPr>
        <w:t>Tamaño y grado de apertura de la economía.</w:t>
      </w:r>
      <w:r w:rsidRPr="00D755FD">
        <w:rPr>
          <w:rFonts w:ascii="Times New Roman" w:eastAsia="Times New Roman" w:hAnsi="Times New Roman" w:cs="Times New Roman"/>
          <w:color w:val="333333"/>
          <w:sz w:val="24"/>
          <w:szCs w:val="24"/>
          <w:lang w:eastAsia="es-ES"/>
        </w:rPr>
        <w:t> Si el comercio exterior representa una proporción alta del PIB, entonces el costo de la inestabilidad cambiaria puede ser elevado. Esto sugiere que las economías pequeñas y abiertas pueden beneficiarse más de un tipo de cambio fijo. Bolivia reúne las características de ser una economía pequeña y abierta al comercio, aunque su comercio, por el lado de las exportaciones, está concentrado en pocos productos, principalmente materias primas extractivas, y en pocos mercados, principalmente de la región. Por el lado de las importaciones, un 40% proviene de 4 países sudamericanos: Brasil, Argentina, Chile y Perú. Estos países tienen políticas de tipo de cambio flexible, por lo que los ajustes cambiarios que ocurren en estos países en forma automática, se traducen en pérdidas de competitividad cambiaria en el país.</w:t>
      </w:r>
    </w:p>
    <w:p w:rsidR="00D755FD" w:rsidRPr="00D755FD" w:rsidRDefault="00D755FD" w:rsidP="00D755FD">
      <w:pPr>
        <w:numPr>
          <w:ilvl w:val="0"/>
          <w:numId w:val="1"/>
        </w:numPr>
        <w:shd w:val="clear" w:color="auto" w:fill="FFFFFF"/>
        <w:spacing w:after="0" w:line="330" w:lineRule="atLeast"/>
        <w:ind w:left="225"/>
        <w:jc w:val="both"/>
        <w:rPr>
          <w:rFonts w:ascii="Times New Roman" w:eastAsia="Times New Roman" w:hAnsi="Times New Roman" w:cs="Times New Roman"/>
          <w:color w:val="333333"/>
          <w:sz w:val="24"/>
          <w:szCs w:val="24"/>
          <w:lang w:eastAsia="es-ES"/>
        </w:rPr>
      </w:pPr>
      <w:r w:rsidRPr="00D755FD">
        <w:rPr>
          <w:rFonts w:ascii="Times New Roman" w:eastAsia="Times New Roman" w:hAnsi="Times New Roman" w:cs="Times New Roman"/>
          <w:b/>
          <w:bCs/>
          <w:color w:val="333333"/>
          <w:sz w:val="24"/>
          <w:szCs w:val="24"/>
          <w:bdr w:val="none" w:sz="0" w:space="0" w:color="auto" w:frame="1"/>
          <w:lang w:eastAsia="es-ES"/>
        </w:rPr>
        <w:t>Tasa de Inflación</w:t>
      </w:r>
      <w:r w:rsidRPr="00D755FD">
        <w:rPr>
          <w:rFonts w:ascii="Times New Roman" w:eastAsia="Times New Roman" w:hAnsi="Times New Roman" w:cs="Times New Roman"/>
          <w:color w:val="333333"/>
          <w:sz w:val="24"/>
          <w:szCs w:val="24"/>
          <w:lang w:eastAsia="es-ES"/>
        </w:rPr>
        <w:t>. Si un país tiene una inflación muy alta en comparación a sus socios comerciales, requiere de un tipo de cambio flexible para prevenir que sus exportaciones se vuelvan poco competitivas en los mercados mundiales. Si las diferenciales de inflación son más modestas, un tipo de cambio fijo es menos problemático. Bolivia ha tenido la inflación bajo control desde que se aplicó el programa de estabilización en 1985. Sin embargo, existe la incertidumbre que, a futuro, con la pérdida de independencia del Banco Central en relación al Ministerio de Economía, éste financie los déficits del SPNF, lo que podría alimentar procesos inflacionarios a futuro. Si ese es el caso, mantener un tipo de cambio fijo será problemático.</w:t>
      </w:r>
    </w:p>
    <w:p w:rsidR="00D755FD" w:rsidRPr="00D755FD" w:rsidRDefault="00D755FD" w:rsidP="00D755FD">
      <w:pPr>
        <w:numPr>
          <w:ilvl w:val="0"/>
          <w:numId w:val="1"/>
        </w:numPr>
        <w:shd w:val="clear" w:color="auto" w:fill="FFFFFF"/>
        <w:spacing w:after="0" w:line="330" w:lineRule="atLeast"/>
        <w:ind w:left="225"/>
        <w:jc w:val="both"/>
        <w:rPr>
          <w:rFonts w:ascii="Times New Roman" w:eastAsia="Times New Roman" w:hAnsi="Times New Roman" w:cs="Times New Roman"/>
          <w:color w:val="333333"/>
          <w:sz w:val="24"/>
          <w:szCs w:val="24"/>
          <w:lang w:eastAsia="es-ES"/>
        </w:rPr>
      </w:pPr>
      <w:r w:rsidRPr="00D755FD">
        <w:rPr>
          <w:rFonts w:ascii="Times New Roman" w:eastAsia="Times New Roman" w:hAnsi="Times New Roman" w:cs="Times New Roman"/>
          <w:b/>
          <w:bCs/>
          <w:color w:val="333333"/>
          <w:sz w:val="24"/>
          <w:szCs w:val="24"/>
          <w:bdr w:val="none" w:sz="0" w:space="0" w:color="auto" w:frame="1"/>
          <w:lang w:eastAsia="es-ES"/>
        </w:rPr>
        <w:t>Flexibilidad del mercado de trabajo</w:t>
      </w:r>
      <w:r w:rsidRPr="00D755FD">
        <w:rPr>
          <w:rFonts w:ascii="Times New Roman" w:eastAsia="Times New Roman" w:hAnsi="Times New Roman" w:cs="Times New Roman"/>
          <w:color w:val="333333"/>
          <w:sz w:val="24"/>
          <w:szCs w:val="24"/>
          <w:lang w:eastAsia="es-ES"/>
        </w:rPr>
        <w:t xml:space="preserve">. Mientras más rígidos sean los salarios, se necesitará en mayor medida un tipo de cambio flexible para ayudar a la economía a responder a los shocks externos. El mercado laboral en Bolivia es altamente </w:t>
      </w:r>
      <w:bookmarkStart w:id="0" w:name="_GoBack"/>
      <w:r w:rsidRPr="00D755FD">
        <w:rPr>
          <w:rFonts w:ascii="Times New Roman" w:eastAsia="Times New Roman" w:hAnsi="Times New Roman" w:cs="Times New Roman"/>
          <w:color w:val="333333"/>
          <w:sz w:val="24"/>
          <w:szCs w:val="24"/>
          <w:lang w:eastAsia="es-ES"/>
        </w:rPr>
        <w:t xml:space="preserve">segmentado. Coexiste un sector informal que comprende alrededor de un 75% del </w:t>
      </w:r>
      <w:bookmarkEnd w:id="0"/>
      <w:r w:rsidRPr="00D755FD">
        <w:rPr>
          <w:rFonts w:ascii="Times New Roman" w:eastAsia="Times New Roman" w:hAnsi="Times New Roman" w:cs="Times New Roman"/>
          <w:color w:val="333333"/>
          <w:sz w:val="24"/>
          <w:szCs w:val="24"/>
          <w:lang w:eastAsia="es-ES"/>
        </w:rPr>
        <w:t xml:space="preserve">empleo total, el cual es altamente flexible ya que es básicamente un mercado no regulado. Sin embargo, las actividades exportadoras en Bolivia operan en el segmento </w:t>
      </w:r>
      <w:r w:rsidRPr="00D755FD">
        <w:rPr>
          <w:rFonts w:ascii="Times New Roman" w:eastAsia="Times New Roman" w:hAnsi="Times New Roman" w:cs="Times New Roman"/>
          <w:color w:val="333333"/>
          <w:sz w:val="24"/>
          <w:szCs w:val="24"/>
          <w:lang w:eastAsia="es-ES"/>
        </w:rPr>
        <w:lastRenderedPageBreak/>
        <w:t xml:space="preserve">formal del mercado de trabajo, el </w:t>
      </w:r>
      <w:proofErr w:type="spellStart"/>
      <w:r w:rsidRPr="00D755FD">
        <w:rPr>
          <w:rFonts w:ascii="Times New Roman" w:eastAsia="Times New Roman" w:hAnsi="Times New Roman" w:cs="Times New Roman"/>
          <w:color w:val="333333"/>
          <w:sz w:val="24"/>
          <w:szCs w:val="24"/>
          <w:lang w:eastAsia="es-ES"/>
        </w:rPr>
        <w:t>cuál</w:t>
      </w:r>
      <w:proofErr w:type="spellEnd"/>
      <w:r w:rsidRPr="00D755FD">
        <w:rPr>
          <w:rFonts w:ascii="Times New Roman" w:eastAsia="Times New Roman" w:hAnsi="Times New Roman" w:cs="Times New Roman"/>
          <w:color w:val="333333"/>
          <w:sz w:val="24"/>
          <w:szCs w:val="24"/>
          <w:lang w:eastAsia="es-ES"/>
        </w:rPr>
        <w:t xml:space="preserve"> es altamente regulado. La legislación laboral es muy rígida, y el Estado interviene discrecionalmente en mercado laboral, fijando los reajustes salariales anuales, el salario mínimo y el pago del segundo aguinaldo, lo que resta competitividad a los sectores transables de la economía. Este factor hace deseable una mayor flexibilidad cambiaria.</w:t>
      </w:r>
    </w:p>
    <w:p w:rsidR="00D755FD" w:rsidRPr="00D755FD" w:rsidRDefault="00D755FD" w:rsidP="00D755FD">
      <w:pPr>
        <w:numPr>
          <w:ilvl w:val="0"/>
          <w:numId w:val="1"/>
        </w:numPr>
        <w:shd w:val="clear" w:color="auto" w:fill="FFFFFF"/>
        <w:spacing w:after="0" w:line="330" w:lineRule="atLeast"/>
        <w:ind w:left="225"/>
        <w:jc w:val="both"/>
        <w:rPr>
          <w:rFonts w:ascii="Times New Roman" w:eastAsia="Times New Roman" w:hAnsi="Times New Roman" w:cs="Times New Roman"/>
          <w:color w:val="333333"/>
          <w:sz w:val="24"/>
          <w:szCs w:val="24"/>
          <w:lang w:eastAsia="es-ES"/>
        </w:rPr>
      </w:pPr>
      <w:r w:rsidRPr="00D755FD">
        <w:rPr>
          <w:rFonts w:ascii="Times New Roman" w:eastAsia="Times New Roman" w:hAnsi="Times New Roman" w:cs="Times New Roman"/>
          <w:b/>
          <w:bCs/>
          <w:color w:val="333333"/>
          <w:sz w:val="24"/>
          <w:szCs w:val="24"/>
          <w:bdr w:val="none" w:sz="0" w:space="0" w:color="auto" w:frame="1"/>
          <w:lang w:eastAsia="es-ES"/>
        </w:rPr>
        <w:t>Grado de desarrollo financiero</w:t>
      </w:r>
      <w:r w:rsidRPr="00D755FD">
        <w:rPr>
          <w:rFonts w:ascii="Times New Roman" w:eastAsia="Times New Roman" w:hAnsi="Times New Roman" w:cs="Times New Roman"/>
          <w:color w:val="333333"/>
          <w:sz w:val="24"/>
          <w:szCs w:val="24"/>
          <w:lang w:eastAsia="es-ES"/>
        </w:rPr>
        <w:t xml:space="preserve">. En los países en desarrollo, con sistemas financieros poco desarrollados, un tipo de cambio flexible no tendría mucho sentido, ya que un pequeño número de comerciantes de moneda extranjera pueden causar grandes fluctuaciones en los tipos de cambio. El sistema financiero boliviano es muy poco profundo, dominado principalmente por el sistema bancario. Además, hasta 2005, el sistema financiero boliviano se caracterizaba por tener una elevada dolarización de activos y pasivos, lo que reducía la posibilidad de tener un tipo de cambio flexible. Posteriormente, el Banco Central aplicó varias políticas tendientes a encarecer las transacciones en dólares con el objeto de reducir la dolarización del sistema financiero. En la actualidad, más del 80% de los depósitos y la cartera de los bancos está denominada en moneda nacional. Paradójicamente, en la situación actual el tipo de cambio se ha vuelto más rígido que cuando existía una alta dolarización, ya que existe el temor que una variación del tipo de cambio revertiría la </w:t>
      </w:r>
      <w:proofErr w:type="spellStart"/>
      <w:r w:rsidRPr="00D755FD">
        <w:rPr>
          <w:rFonts w:ascii="Times New Roman" w:eastAsia="Times New Roman" w:hAnsi="Times New Roman" w:cs="Times New Roman"/>
          <w:color w:val="333333"/>
          <w:sz w:val="24"/>
          <w:szCs w:val="24"/>
          <w:lang w:eastAsia="es-ES"/>
        </w:rPr>
        <w:t>bolivianización</w:t>
      </w:r>
      <w:proofErr w:type="spellEnd"/>
      <w:r w:rsidRPr="00D755FD">
        <w:rPr>
          <w:rFonts w:ascii="Times New Roman" w:eastAsia="Times New Roman" w:hAnsi="Times New Roman" w:cs="Times New Roman"/>
          <w:color w:val="333333"/>
          <w:sz w:val="24"/>
          <w:szCs w:val="24"/>
          <w:lang w:eastAsia="es-ES"/>
        </w:rPr>
        <w:t xml:space="preserve"> del sistema financiero, con costos elevados para el sistema financiero y para la economía.</w:t>
      </w:r>
    </w:p>
    <w:p w:rsidR="00D755FD" w:rsidRPr="00D755FD" w:rsidRDefault="00D755FD" w:rsidP="00D755FD">
      <w:pPr>
        <w:numPr>
          <w:ilvl w:val="0"/>
          <w:numId w:val="1"/>
        </w:numPr>
        <w:shd w:val="clear" w:color="auto" w:fill="FFFFFF"/>
        <w:spacing w:after="0" w:line="330" w:lineRule="atLeast"/>
        <w:ind w:left="225"/>
        <w:jc w:val="both"/>
        <w:rPr>
          <w:rFonts w:ascii="Times New Roman" w:eastAsia="Times New Roman" w:hAnsi="Times New Roman" w:cs="Times New Roman"/>
          <w:color w:val="333333"/>
          <w:sz w:val="24"/>
          <w:szCs w:val="24"/>
          <w:lang w:eastAsia="es-ES"/>
        </w:rPr>
      </w:pPr>
      <w:r w:rsidRPr="00D755FD">
        <w:rPr>
          <w:rFonts w:ascii="Times New Roman" w:eastAsia="Times New Roman" w:hAnsi="Times New Roman" w:cs="Times New Roman"/>
          <w:b/>
          <w:bCs/>
          <w:color w:val="333333"/>
          <w:sz w:val="24"/>
          <w:szCs w:val="24"/>
          <w:bdr w:val="none" w:sz="0" w:space="0" w:color="auto" w:frame="1"/>
          <w:lang w:eastAsia="es-ES"/>
        </w:rPr>
        <w:t>Credibilidad de los que diseñan la política económica.</w:t>
      </w:r>
      <w:r w:rsidRPr="00D755FD">
        <w:rPr>
          <w:rFonts w:ascii="Times New Roman" w:eastAsia="Times New Roman" w:hAnsi="Times New Roman" w:cs="Times New Roman"/>
          <w:color w:val="333333"/>
          <w:sz w:val="24"/>
          <w:szCs w:val="24"/>
          <w:lang w:eastAsia="es-ES"/>
        </w:rPr>
        <w:t> Mientras más baja sea la reputación del banco central, habrá más motivos para fijar el tipo de cambio para restaurar la confianza que la inflación será controlada: Los tipos de cambio fijo han ayudado a las economías latinoamericanas a reducir la inflación. Bolivia había dado pasos importantes para lograr la institucionalidad necesaria que garantizaran la estabilidad de precios, como fue el caso de la independencia del Banco Central, y la restricción de que éste financie al TGN. Sin embargo, en los últimos años la independencia del Banco Central ha sido drásticamente reducida, y éste ha comenzado a financiar los crecientes déficits del SPNF, lo que ha incrementado considerablemente la deuda pública con el BCB. Es fundamental restaurar la independencia del Banco Central para garantizar una política cambiaria flexible que no desestabilice la economía.</w:t>
      </w:r>
    </w:p>
    <w:p w:rsidR="00D755FD" w:rsidRPr="00D755FD" w:rsidRDefault="00D755FD" w:rsidP="00D755FD">
      <w:pPr>
        <w:numPr>
          <w:ilvl w:val="0"/>
          <w:numId w:val="1"/>
        </w:numPr>
        <w:shd w:val="clear" w:color="auto" w:fill="FFFFFF"/>
        <w:spacing w:after="0" w:line="330" w:lineRule="atLeast"/>
        <w:ind w:left="225"/>
        <w:jc w:val="both"/>
        <w:rPr>
          <w:rFonts w:ascii="Times New Roman" w:eastAsia="Times New Roman" w:hAnsi="Times New Roman" w:cs="Times New Roman"/>
          <w:color w:val="333333"/>
          <w:sz w:val="24"/>
          <w:szCs w:val="24"/>
          <w:lang w:eastAsia="es-ES"/>
        </w:rPr>
      </w:pPr>
      <w:r w:rsidRPr="00D755FD">
        <w:rPr>
          <w:rFonts w:ascii="Times New Roman" w:eastAsia="Times New Roman" w:hAnsi="Times New Roman" w:cs="Times New Roman"/>
          <w:b/>
          <w:bCs/>
          <w:color w:val="333333"/>
          <w:sz w:val="24"/>
          <w:szCs w:val="24"/>
          <w:bdr w:val="none" w:sz="0" w:space="0" w:color="auto" w:frame="1"/>
          <w:lang w:eastAsia="es-ES"/>
        </w:rPr>
        <w:t>Movilidad de capitales.</w:t>
      </w:r>
      <w:r w:rsidRPr="00D755FD">
        <w:rPr>
          <w:rFonts w:ascii="Times New Roman" w:eastAsia="Times New Roman" w:hAnsi="Times New Roman" w:cs="Times New Roman"/>
          <w:color w:val="333333"/>
          <w:sz w:val="24"/>
          <w:szCs w:val="24"/>
          <w:lang w:eastAsia="es-ES"/>
        </w:rPr>
        <w:t> Mientras más abierta sea la economía a los capitales externos, será más difícil mantener un tipo de cambio fijo. Bolivia tiene una economía abierta a los flujos de capitales externos, y no existen restricciones a la libre entrada y salida de recursos financieros. Sin embargo, estos flujos consisten principalmente en financiamiento al sector público, otorgado por organismos e instituciones de financiamiento internacional, multilaterales y bilaterales, o deuda pública comercial obtenida mediante emisiones de bonos soberanos. Estos flujos han servido a menudo para estabilizar la balanza de pagos y el tipo de cambio.</w:t>
      </w:r>
    </w:p>
    <w:p w:rsidR="00D755FD" w:rsidRPr="00D755FD" w:rsidRDefault="00D755FD" w:rsidP="00D755FD">
      <w:pPr>
        <w:shd w:val="clear" w:color="auto" w:fill="FFFFFF"/>
        <w:spacing w:after="0" w:line="330" w:lineRule="atLeast"/>
        <w:rPr>
          <w:rFonts w:ascii="Times New Roman" w:eastAsia="Times New Roman" w:hAnsi="Times New Roman" w:cs="Times New Roman"/>
          <w:color w:val="333333"/>
          <w:sz w:val="24"/>
          <w:szCs w:val="24"/>
          <w:lang w:eastAsia="es-ES"/>
        </w:rPr>
      </w:pPr>
      <w:r w:rsidRPr="00D755FD">
        <w:rPr>
          <w:rFonts w:ascii="Times New Roman" w:eastAsia="Times New Roman" w:hAnsi="Times New Roman" w:cs="Times New Roman"/>
          <w:color w:val="333333"/>
          <w:sz w:val="24"/>
          <w:szCs w:val="24"/>
          <w:lang w:eastAsia="es-ES"/>
        </w:rPr>
        <w:pict>
          <v:rect id="_x0000_i1025" style="width:0;height:1.5pt" o:hralign="center" o:hrstd="t" o:hr="t" fillcolor="#a0a0a0" stroked="f"/>
        </w:pict>
      </w:r>
    </w:p>
    <w:p w:rsidR="00D755FD" w:rsidRPr="00D755FD" w:rsidRDefault="00D755FD" w:rsidP="00D755FD">
      <w:pPr>
        <w:shd w:val="clear" w:color="auto" w:fill="FFFFFF"/>
        <w:spacing w:after="0" w:line="330" w:lineRule="atLeast"/>
        <w:jc w:val="both"/>
        <w:rPr>
          <w:rFonts w:ascii="Times New Roman" w:eastAsia="Times New Roman" w:hAnsi="Times New Roman" w:cs="Times New Roman"/>
          <w:color w:val="333333"/>
          <w:sz w:val="24"/>
          <w:szCs w:val="24"/>
          <w:lang w:eastAsia="es-ES"/>
        </w:rPr>
      </w:pPr>
      <w:r w:rsidRPr="00D755FD">
        <w:rPr>
          <w:rFonts w:ascii="Times New Roman" w:eastAsia="Times New Roman" w:hAnsi="Times New Roman" w:cs="Times New Roman"/>
          <w:color w:val="333333"/>
          <w:sz w:val="24"/>
          <w:szCs w:val="24"/>
          <w:lang w:eastAsia="es-ES"/>
        </w:rPr>
        <w:t>*</w:t>
      </w:r>
      <w:r w:rsidRPr="00D755FD">
        <w:rPr>
          <w:rFonts w:ascii="Times New Roman" w:eastAsia="Times New Roman" w:hAnsi="Times New Roman" w:cs="Times New Roman"/>
          <w:i/>
          <w:iCs/>
          <w:color w:val="333333"/>
          <w:sz w:val="24"/>
          <w:szCs w:val="24"/>
          <w:bdr w:val="none" w:sz="0" w:space="0" w:color="auto" w:frame="1"/>
          <w:lang w:eastAsia="es-ES"/>
        </w:rPr>
        <w:t xml:space="preserve">Investigador </w:t>
      </w:r>
      <w:proofErr w:type="spellStart"/>
      <w:r w:rsidRPr="00D755FD">
        <w:rPr>
          <w:rFonts w:ascii="Times New Roman" w:eastAsia="Times New Roman" w:hAnsi="Times New Roman" w:cs="Times New Roman"/>
          <w:i/>
          <w:iCs/>
          <w:color w:val="333333"/>
          <w:sz w:val="24"/>
          <w:szCs w:val="24"/>
          <w:bdr w:val="none" w:sz="0" w:space="0" w:color="auto" w:frame="1"/>
          <w:lang w:eastAsia="es-ES"/>
        </w:rPr>
        <w:t>Senior</w:t>
      </w:r>
      <w:proofErr w:type="spellEnd"/>
      <w:r w:rsidRPr="00D755FD">
        <w:rPr>
          <w:rFonts w:ascii="Times New Roman" w:eastAsia="Times New Roman" w:hAnsi="Times New Roman" w:cs="Times New Roman"/>
          <w:i/>
          <w:iCs/>
          <w:color w:val="333333"/>
          <w:sz w:val="24"/>
          <w:szCs w:val="24"/>
          <w:bdr w:val="none" w:sz="0" w:space="0" w:color="auto" w:frame="1"/>
          <w:lang w:eastAsia="es-ES"/>
        </w:rPr>
        <w:t xml:space="preserve"> de INESAD, lcjemio@inesad.edu.bo</w:t>
      </w:r>
    </w:p>
    <w:p w:rsidR="00521F08" w:rsidRPr="00D755FD" w:rsidRDefault="00521F08">
      <w:pPr>
        <w:rPr>
          <w:rFonts w:ascii="Times New Roman" w:hAnsi="Times New Roman" w:cs="Times New Roman"/>
          <w:sz w:val="24"/>
          <w:szCs w:val="24"/>
        </w:rPr>
      </w:pPr>
    </w:p>
    <w:sectPr w:rsidR="00521F08" w:rsidRPr="00D755FD" w:rsidSect="00D755FD">
      <w:pgSz w:w="11906" w:h="16838"/>
      <w:pgMar w:top="568"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B5DDF"/>
    <w:multiLevelType w:val="multilevel"/>
    <w:tmpl w:val="00E6D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5FD"/>
    <w:rsid w:val="00521F08"/>
    <w:rsid w:val="00D755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755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55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755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55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912361">
      <w:bodyDiv w:val="1"/>
      <w:marLeft w:val="0"/>
      <w:marRight w:val="0"/>
      <w:marTop w:val="0"/>
      <w:marBottom w:val="0"/>
      <w:divBdr>
        <w:top w:val="none" w:sz="0" w:space="0" w:color="auto"/>
        <w:left w:val="none" w:sz="0" w:space="0" w:color="auto"/>
        <w:bottom w:val="none" w:sz="0" w:space="0" w:color="auto"/>
        <w:right w:val="none" w:sz="0" w:space="0" w:color="auto"/>
      </w:divBdr>
      <w:divsChild>
        <w:div w:id="746608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esad.edu.bo/dslm/category/macroe/monetaria/" TargetMode="External"/><Relationship Id="rId3" Type="http://schemas.microsoft.com/office/2007/relationships/stylesWithEffects" Target="stylesWithEffects.xml"/><Relationship Id="rId7" Type="http://schemas.openxmlformats.org/officeDocument/2006/relationships/hyperlink" Target="https://inesad.edu.bo/dslm/category/macro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esad.edu.bo/dslm/category/macroe/inte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1671</Words>
  <Characters>9193</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dc:creator>
  <cp:lastModifiedBy>Jaime</cp:lastModifiedBy>
  <cp:revision>1</cp:revision>
  <dcterms:created xsi:type="dcterms:W3CDTF">2020-07-04T22:01:00Z</dcterms:created>
  <dcterms:modified xsi:type="dcterms:W3CDTF">2020-07-04T22:05:00Z</dcterms:modified>
</cp:coreProperties>
</file>