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E8933" w14:textId="77777777" w:rsidR="00655098" w:rsidRPr="005C2AE7" w:rsidRDefault="00121F17">
      <w:pPr>
        <w:rPr>
          <w:b/>
          <w:sz w:val="24"/>
          <w:szCs w:val="24"/>
          <w:lang w:val="es-CL"/>
        </w:rPr>
      </w:pPr>
      <w:r w:rsidRPr="005C2AE7">
        <w:rPr>
          <w:b/>
          <w:sz w:val="24"/>
          <w:szCs w:val="24"/>
          <w:lang w:val="es-CL"/>
        </w:rPr>
        <w:t>ANTECEDENTES</w:t>
      </w:r>
    </w:p>
    <w:p w14:paraId="0BA24ACA" w14:textId="77777777" w:rsidR="00BB5AAB" w:rsidRDefault="00121F17" w:rsidP="00B450EE">
      <w:pPr>
        <w:jc w:val="both"/>
        <w:rPr>
          <w:lang w:val="es-CL"/>
        </w:rPr>
      </w:pPr>
      <w:r>
        <w:rPr>
          <w:lang w:val="es-CL"/>
        </w:rPr>
        <w:t xml:space="preserve">La creación de valor público se ha instalado como una meta principal para los directores públicos en </w:t>
      </w:r>
      <w:r w:rsidR="00D12505">
        <w:rPr>
          <w:lang w:val="es-CL"/>
        </w:rPr>
        <w:t>los Estad</w:t>
      </w:r>
      <w:r w:rsidR="00235E61">
        <w:rPr>
          <w:lang w:val="es-CL"/>
        </w:rPr>
        <w:t>os democráticos (</w:t>
      </w:r>
      <w:r w:rsidR="00D12505">
        <w:rPr>
          <w:lang w:val="es-CL"/>
        </w:rPr>
        <w:t>Moore</w:t>
      </w:r>
      <w:r w:rsidR="00235E61">
        <w:rPr>
          <w:lang w:val="es-CL"/>
        </w:rPr>
        <w:t>, 1998; Kelly y Muers, 2003</w:t>
      </w:r>
      <w:r w:rsidR="00D12505">
        <w:rPr>
          <w:lang w:val="es-CL"/>
        </w:rPr>
        <w:t xml:space="preserve">). De aquí que exista preocupación por lograr una provisión de bienes y servicios públicos lo </w:t>
      </w:r>
      <w:r w:rsidR="00C112BF">
        <w:rPr>
          <w:lang w:val="es-CL"/>
        </w:rPr>
        <w:t>más eficiente y eficaz posible</w:t>
      </w:r>
      <w:r w:rsidR="00D12505">
        <w:rPr>
          <w:lang w:val="es-CL"/>
        </w:rPr>
        <w:t>, pero que además sea responsiva a las necesidades de la ciudadanía</w:t>
      </w:r>
      <w:r w:rsidR="00BA60F7">
        <w:rPr>
          <w:lang w:val="es-CL"/>
        </w:rPr>
        <w:t xml:space="preserve"> (Falleti, 2006; OECD, 2017)</w:t>
      </w:r>
      <w:r w:rsidR="00D12505">
        <w:rPr>
          <w:lang w:val="es-CL"/>
        </w:rPr>
        <w:t>.</w:t>
      </w:r>
      <w:r w:rsidR="00C112BF">
        <w:rPr>
          <w:lang w:val="es-CL"/>
        </w:rPr>
        <w:t xml:space="preserve"> Bajo esta lógica, es que muchos países </w:t>
      </w:r>
      <w:r w:rsidR="00BB5AAB">
        <w:rPr>
          <w:lang w:val="es-CL"/>
        </w:rPr>
        <w:t>deciden iniciar</w:t>
      </w:r>
      <w:r w:rsidR="00C112BF">
        <w:rPr>
          <w:lang w:val="es-CL"/>
        </w:rPr>
        <w:t xml:space="preserve"> procesos de </w:t>
      </w:r>
      <w:r w:rsidR="00BB5AAB">
        <w:rPr>
          <w:lang w:val="es-CL"/>
        </w:rPr>
        <w:t xml:space="preserve">redistribución de competencias entre sus distintos niveles territoriales de gobierno, usualmente transfiriendo </w:t>
      </w:r>
      <w:r w:rsidR="00BB5AAB" w:rsidRPr="00BB5AAB">
        <w:t>autoridad, respo</w:t>
      </w:r>
      <w:r w:rsidR="00BB5AAB">
        <w:t>nsabilidades y recursos desde</w:t>
      </w:r>
      <w:r w:rsidR="00BB5AAB">
        <w:rPr>
          <w:lang w:val="es-CL"/>
        </w:rPr>
        <w:t xml:space="preserve"> el gobierno central hacia los gobiernos subnacionales, lo que se entiende ampliamente como descentralización</w:t>
      </w:r>
      <w:r w:rsidR="00BA60F7">
        <w:rPr>
          <w:lang w:val="es-CL"/>
        </w:rPr>
        <w:t xml:space="preserve"> (Ferreiro et al., 2019)</w:t>
      </w:r>
      <w:r w:rsidR="00BB5AAB">
        <w:rPr>
          <w:lang w:val="es-CL"/>
        </w:rPr>
        <w:t>.</w:t>
      </w:r>
    </w:p>
    <w:p w14:paraId="6C1BD204" w14:textId="77777777" w:rsidR="00C112BF" w:rsidRDefault="00C112BF" w:rsidP="00B450EE">
      <w:pPr>
        <w:jc w:val="both"/>
      </w:pPr>
      <w:r>
        <w:t>Respecto al caso chileno</w:t>
      </w:r>
      <w:r w:rsidR="00B728C1">
        <w:t xml:space="preserve"> y a instancias de</w:t>
      </w:r>
      <w:r w:rsidR="00B728C1" w:rsidRPr="00B728C1">
        <w:t xml:space="preserve"> </w:t>
      </w:r>
      <w:r w:rsidR="00B728C1">
        <w:t xml:space="preserve">lo recomendado por la </w:t>
      </w:r>
      <w:r w:rsidR="00B728C1" w:rsidRPr="00B728C1">
        <w:t>Comisión Asesora Presidencial en Descentralización y Desarrollo Regional,</w:t>
      </w:r>
      <w:r w:rsidR="00B728C1">
        <w:t xml:space="preserve"> </w:t>
      </w:r>
      <w:r w:rsidR="00634360">
        <w:t>conformada a principios del segundo gobierno de Michelle Bachelet</w:t>
      </w:r>
      <w:r w:rsidR="00B728C1">
        <w:t xml:space="preserve"> </w:t>
      </w:r>
      <w:r>
        <w:t xml:space="preserve">, </w:t>
      </w:r>
      <w:r w:rsidR="00F924DE">
        <w:t xml:space="preserve">se </w:t>
      </w:r>
      <w:r w:rsidR="00634360">
        <w:t>dio</w:t>
      </w:r>
      <w:r w:rsidR="00F924DE">
        <w:t xml:space="preserve"> un paso importante en este sentido con la Ley</w:t>
      </w:r>
      <w:r w:rsidR="00BB5AAB">
        <w:t xml:space="preserve"> 21.073 que regula</w:t>
      </w:r>
      <w:r w:rsidR="00F924DE">
        <w:t xml:space="preserve"> la elección popular de gobernadores regionales (reemplazando a los actuales intendentes nombrados por el Ejecutivo) y la Ley 21.074 </w:t>
      </w:r>
      <w:r w:rsidR="00AF08CE">
        <w:t xml:space="preserve">que, entre otras cosas, habilita al Presidente de la República para </w:t>
      </w:r>
      <w:r w:rsidR="00AF08CE" w:rsidRPr="00AF08CE">
        <w:t xml:space="preserve">transferir a uno o más gobiernos regionales competencias de los ministerios y servicios públicos, </w:t>
      </w:r>
      <w:r w:rsidR="00AF08CE">
        <w:t>de manera temporal o definitiva, en ciertos ámbitos definidos.</w:t>
      </w:r>
      <w:r w:rsidR="00BB5AAB">
        <w:t xml:space="preserve"> </w:t>
      </w:r>
      <w:r w:rsidR="00B450EE">
        <w:t xml:space="preserve">Estas leyes, promulgadas en febrero de 2018, se entienden como complementarias y en conjunto representan </w:t>
      </w:r>
      <w:r w:rsidR="00B450EE" w:rsidRPr="00B450EE">
        <w:t>el hito culminante de un proceso de reforma que evoluciona desde un modelo desconcentrado a uno descentralizado (Hernández</w:t>
      </w:r>
      <w:r w:rsidR="00BA60F7">
        <w:t>, 2017</w:t>
      </w:r>
      <w:r w:rsidR="00B450EE" w:rsidRPr="00B450EE">
        <w:t>).</w:t>
      </w:r>
    </w:p>
    <w:p w14:paraId="0254CADC" w14:textId="77777777" w:rsidR="00B450EE" w:rsidRDefault="00824C67" w:rsidP="00B450EE">
      <w:pPr>
        <w:jc w:val="both"/>
      </w:pPr>
      <w:r>
        <w:t xml:space="preserve">Paralelo a </w:t>
      </w:r>
      <w:r w:rsidR="00B728C1">
        <w:t>este impulso descentralizador, fue aumentando en la opinión pública</w:t>
      </w:r>
      <w:r w:rsidR="00634360" w:rsidRPr="00634360">
        <w:t xml:space="preserve"> el malestar por el sistema educacional chileno, en los ámbitos de calidad y financiamiento</w:t>
      </w:r>
      <w:r w:rsidR="00634360">
        <w:t xml:space="preserve">, </w:t>
      </w:r>
      <w:r w:rsidR="00B728C1">
        <w:t>en especial desde la “revolución pingüina” de 2006 y las marchas estudiantiles de 2011</w:t>
      </w:r>
      <w:r w:rsidR="00634360">
        <w:t xml:space="preserve">. En relación a los niveles de educación básica </w:t>
      </w:r>
      <w:r w:rsidR="0034302C">
        <w:t xml:space="preserve">y media, los dardos apuntaban a </w:t>
      </w:r>
      <w:r w:rsidR="00BB5AAB">
        <w:t>la</w:t>
      </w:r>
      <w:r w:rsidR="0034302C">
        <w:t xml:space="preserve"> </w:t>
      </w:r>
      <w:r w:rsidR="00634360">
        <w:t xml:space="preserve">municipalización </w:t>
      </w:r>
      <w:r w:rsidR="0012243A">
        <w:t xml:space="preserve">establecida por la dictadura militar </w:t>
      </w:r>
      <w:r w:rsidR="0034302C">
        <w:t>en 1981</w:t>
      </w:r>
      <w:r w:rsidR="000842B8">
        <w:t xml:space="preserve"> (Raczynski y</w:t>
      </w:r>
      <w:r w:rsidR="000842B8" w:rsidRPr="000842B8">
        <w:t xml:space="preserve"> Serrano</w:t>
      </w:r>
      <w:r w:rsidR="000842B8">
        <w:t>, 2001)</w:t>
      </w:r>
      <w:r w:rsidR="0034302C">
        <w:t xml:space="preserve">. De aquí que también bajo la segunda administración de la Presidenta Bachelet, se enviara un conjunto de proyectos de ley en material educacional, uno de los cuales resultó en la </w:t>
      </w:r>
      <w:r w:rsidR="0012243A">
        <w:t xml:space="preserve">promulgación en noviembre de 2017 de la </w:t>
      </w:r>
      <w:r w:rsidR="0034302C">
        <w:t>Ley 21.040, llamada “Nueva Educación Pública”, que traspasa la administración de los establecimientos educacionales desde los municipios hacia los nuevos Servicios Locales de Educación</w:t>
      </w:r>
      <w:r w:rsidR="000842B8">
        <w:t xml:space="preserve"> (Bellei, 2018)</w:t>
      </w:r>
      <w:r w:rsidR="0034302C">
        <w:t>.</w:t>
      </w:r>
    </w:p>
    <w:p w14:paraId="09F70083" w14:textId="77777777" w:rsidR="0012243A" w:rsidRDefault="00223518" w:rsidP="00B450EE">
      <w:pPr>
        <w:jc w:val="both"/>
      </w:pPr>
      <w:r>
        <w:t xml:space="preserve">Dada </w:t>
      </w:r>
      <w:r w:rsidR="0012243A">
        <w:t xml:space="preserve">la magnitud de ambas reformas (descentralización </w:t>
      </w:r>
      <w:r>
        <w:t xml:space="preserve">político-administrativa </w:t>
      </w:r>
      <w:r w:rsidR="0012243A">
        <w:t>y desmunic</w:t>
      </w:r>
      <w:r>
        <w:t xml:space="preserve">ipalización de la educación), el legislador ha entendido que su implementación debe ser gradual. </w:t>
      </w:r>
      <w:r w:rsidR="00B133F1">
        <w:t xml:space="preserve">En el caso de la Ley </w:t>
      </w:r>
      <w:r w:rsidR="00E162CD">
        <w:t>21.040, se dispone, por ejemplo, un régimen de pilotaje hasta marzo de 2022, durante el cual sólo se pueden transferir competencias de oficio por parte del Presidente de la República, por un plazo de uno o dos años; la ley de Nueva Educación Pública, por otra parte, contempla un plazo de ejecución del traspaso a los 70 Servicios Locales de Educación</w:t>
      </w:r>
      <w:r w:rsidR="00A56A66">
        <w:t xml:space="preserve"> </w:t>
      </w:r>
      <w:r w:rsidR="00E162CD">
        <w:t>de ocho años (desde 2018 a 202</w:t>
      </w:r>
      <w:r w:rsidR="00E162CD" w:rsidRPr="00E162CD">
        <w:t xml:space="preserve">5), pudiendo </w:t>
      </w:r>
      <w:r w:rsidR="00E162CD">
        <w:t>prorrogarse un quinquenio más.</w:t>
      </w:r>
    </w:p>
    <w:p w14:paraId="63DB69F9" w14:textId="77777777" w:rsidR="00A56A66" w:rsidRDefault="00235E61" w:rsidP="00B450EE">
      <w:pPr>
        <w:jc w:val="both"/>
        <w:rPr>
          <w:iCs/>
        </w:rPr>
      </w:pPr>
      <w:r>
        <w:t xml:space="preserve">Este período gradual de las reformas será crucial para poder </w:t>
      </w:r>
      <w:r w:rsidR="00C30A9F">
        <w:t>ir evaluando</w:t>
      </w:r>
      <w:r>
        <w:t xml:space="preserve"> </w:t>
      </w:r>
      <w:r w:rsidR="00C30A9F">
        <w:t xml:space="preserve">los nudos críticos del traspaso de competencias en ambos casos, bajo un enfoque de </w:t>
      </w:r>
      <w:r w:rsidR="00C30A9F" w:rsidRPr="00CB3D0C">
        <w:rPr>
          <w:i/>
        </w:rPr>
        <w:t>implementación adaptativa</w:t>
      </w:r>
      <w:r w:rsidR="00C30A9F">
        <w:t xml:space="preserve"> en que </w:t>
      </w:r>
      <w:r w:rsidR="00C30A9F" w:rsidRPr="00C30A9F">
        <w:rPr>
          <w:iCs/>
        </w:rPr>
        <w:t>“los planes y acciones se deben ajustar a los cambios en las condiciones del entorno y el gestor debe actuar más como un faci</w:t>
      </w:r>
      <w:r w:rsidR="00C30A9F">
        <w:rPr>
          <w:iCs/>
        </w:rPr>
        <w:t xml:space="preserve">litador que como un controlador…” </w:t>
      </w:r>
      <w:r w:rsidR="00C30A9F" w:rsidRPr="009A06A3">
        <w:rPr>
          <w:iCs/>
        </w:rPr>
        <w:t>(Sulbrandt, 2002).</w:t>
      </w:r>
      <w:r w:rsidR="002F2957">
        <w:rPr>
          <w:iCs/>
        </w:rPr>
        <w:t xml:space="preserve"> Los mecanismos de evaluación no sólo deberían ser útiles para poder ponderar los avances de cada proceso según lo planificado, sino que también deben de ser capaces de identificar elementos emergentes que surjan de la interacción dinámica entre el dador y el receptor de las competencias. Rastrear</w:t>
      </w:r>
      <w:r w:rsidR="00830D71">
        <w:rPr>
          <w:iCs/>
        </w:rPr>
        <w:t xml:space="preserve"> estos elementos no previstos en la implementación de las nuevas competencias, permitiría</w:t>
      </w:r>
      <w:r w:rsidR="002F2957">
        <w:rPr>
          <w:iCs/>
        </w:rPr>
        <w:t xml:space="preserve"> </w:t>
      </w:r>
      <w:r w:rsidR="00830D71">
        <w:rPr>
          <w:iCs/>
        </w:rPr>
        <w:t xml:space="preserve">a los </w:t>
      </w:r>
      <w:r w:rsidR="00830D71">
        <w:rPr>
          <w:iCs/>
        </w:rPr>
        <w:lastRenderedPageBreak/>
        <w:t xml:space="preserve">tomadores de decisión poder replicar </w:t>
      </w:r>
      <w:r w:rsidR="003868A8">
        <w:rPr>
          <w:iCs/>
        </w:rPr>
        <w:t>con</w:t>
      </w:r>
      <w:r w:rsidR="00830D71">
        <w:rPr>
          <w:iCs/>
        </w:rPr>
        <w:t xml:space="preserve"> otros receptores procesos exi</w:t>
      </w:r>
      <w:r w:rsidR="003868A8">
        <w:rPr>
          <w:iCs/>
        </w:rPr>
        <w:t>tosos y viceversa poder evitar la ocurrencia de fallas.</w:t>
      </w:r>
    </w:p>
    <w:p w14:paraId="737D51C2" w14:textId="77777777" w:rsidR="00503E6E" w:rsidRPr="005C2AE7" w:rsidRDefault="00503E6E" w:rsidP="00B450EE">
      <w:pPr>
        <w:jc w:val="both"/>
        <w:rPr>
          <w:b/>
          <w:iCs/>
          <w:sz w:val="24"/>
          <w:szCs w:val="24"/>
        </w:rPr>
      </w:pPr>
      <w:r w:rsidRPr="005C2AE7">
        <w:rPr>
          <w:b/>
          <w:iCs/>
          <w:sz w:val="24"/>
          <w:szCs w:val="24"/>
        </w:rPr>
        <w:t>PREGUNTA DE INVESTIGACIÓN</w:t>
      </w:r>
    </w:p>
    <w:p w14:paraId="29B66801" w14:textId="77777777" w:rsidR="00503E6E" w:rsidRPr="00503E6E" w:rsidRDefault="00503E6E" w:rsidP="00B450EE">
      <w:pPr>
        <w:jc w:val="both"/>
        <w:rPr>
          <w:iCs/>
        </w:rPr>
      </w:pPr>
      <w:commentRangeStart w:id="0"/>
      <w:r>
        <w:rPr>
          <w:iCs/>
        </w:rPr>
        <w:t>¿Cuáles son los elementos y propiedades que</w:t>
      </w:r>
      <w:r w:rsidR="0071218F">
        <w:rPr>
          <w:iCs/>
        </w:rPr>
        <w:t>, bajo el contexto político-administrativo chileno, son capaces de definir un traspaso de competencias que tienda a aumentar la creación de valor público?</w:t>
      </w:r>
      <w:commentRangeEnd w:id="0"/>
      <w:r w:rsidR="0005793E">
        <w:rPr>
          <w:rStyle w:val="CommentReference"/>
        </w:rPr>
        <w:commentReference w:id="0"/>
      </w:r>
    </w:p>
    <w:p w14:paraId="55C0B0D3" w14:textId="77777777" w:rsidR="00492F1A" w:rsidRPr="005C2AE7" w:rsidRDefault="0062109F" w:rsidP="00B450EE">
      <w:pPr>
        <w:jc w:val="both"/>
        <w:rPr>
          <w:b/>
          <w:iCs/>
          <w:sz w:val="24"/>
          <w:szCs w:val="24"/>
        </w:rPr>
      </w:pPr>
      <w:r w:rsidRPr="005C2AE7">
        <w:rPr>
          <w:b/>
          <w:iCs/>
          <w:sz w:val="24"/>
          <w:szCs w:val="24"/>
        </w:rPr>
        <w:t>OBJETIVO GENERAL</w:t>
      </w:r>
    </w:p>
    <w:p w14:paraId="5C4C6CE9" w14:textId="77777777" w:rsidR="0062109F" w:rsidRDefault="0062109F" w:rsidP="0062109F">
      <w:pPr>
        <w:pStyle w:val="ListParagraph"/>
        <w:numPr>
          <w:ilvl w:val="0"/>
          <w:numId w:val="1"/>
        </w:numPr>
        <w:jc w:val="both"/>
        <w:rPr>
          <w:iCs/>
        </w:rPr>
      </w:pPr>
      <w:commentRangeStart w:id="1"/>
      <w:r>
        <w:rPr>
          <w:iCs/>
        </w:rPr>
        <w:t>P</w:t>
      </w:r>
      <w:r w:rsidRPr="0062109F">
        <w:rPr>
          <w:iCs/>
        </w:rPr>
        <w:t>roponer un esquema general de transferencia de competencias</w:t>
      </w:r>
      <w:r>
        <w:rPr>
          <w:iCs/>
        </w:rPr>
        <w:t>, aplicado a la estructura político-administrativa chilena.</w:t>
      </w:r>
      <w:commentRangeEnd w:id="1"/>
      <w:r w:rsidR="0005793E">
        <w:rPr>
          <w:rStyle w:val="CommentReference"/>
        </w:rPr>
        <w:commentReference w:id="1"/>
      </w:r>
    </w:p>
    <w:p w14:paraId="7AFB13D0" w14:textId="77777777" w:rsidR="0062109F" w:rsidRPr="005C2AE7" w:rsidRDefault="0062109F" w:rsidP="0062109F">
      <w:pPr>
        <w:jc w:val="both"/>
        <w:rPr>
          <w:b/>
          <w:iCs/>
          <w:sz w:val="24"/>
          <w:szCs w:val="24"/>
        </w:rPr>
      </w:pPr>
      <w:commentRangeStart w:id="2"/>
      <w:r w:rsidRPr="005C2AE7">
        <w:rPr>
          <w:b/>
          <w:iCs/>
          <w:sz w:val="24"/>
          <w:szCs w:val="24"/>
        </w:rPr>
        <w:t>OBJETIVOS ESPECÍFICOS</w:t>
      </w:r>
      <w:commentRangeEnd w:id="2"/>
      <w:r w:rsidR="00A124C5">
        <w:rPr>
          <w:rStyle w:val="CommentReference"/>
        </w:rPr>
        <w:commentReference w:id="2"/>
      </w:r>
    </w:p>
    <w:p w14:paraId="0D34055B" w14:textId="77777777" w:rsidR="0062109F" w:rsidRDefault="0062109F" w:rsidP="0062109F">
      <w:pPr>
        <w:pStyle w:val="ListParagraph"/>
        <w:numPr>
          <w:ilvl w:val="0"/>
          <w:numId w:val="1"/>
        </w:numPr>
        <w:jc w:val="both"/>
        <w:rPr>
          <w:iCs/>
        </w:rPr>
      </w:pPr>
      <w:r>
        <w:rPr>
          <w:iCs/>
        </w:rPr>
        <w:t>Identificar nudos críticos del proceso de transferencia de competencias.</w:t>
      </w:r>
    </w:p>
    <w:p w14:paraId="1FBE3207" w14:textId="77777777" w:rsidR="0062109F" w:rsidRDefault="0062109F" w:rsidP="0062109F">
      <w:pPr>
        <w:pStyle w:val="ListParagraph"/>
        <w:numPr>
          <w:ilvl w:val="0"/>
          <w:numId w:val="1"/>
        </w:numPr>
        <w:jc w:val="both"/>
        <w:rPr>
          <w:iCs/>
        </w:rPr>
      </w:pPr>
      <w:r>
        <w:rPr>
          <w:iCs/>
        </w:rPr>
        <w:t xml:space="preserve">Describir la relación entre el dador y el receptor de la transferencia de </w:t>
      </w:r>
      <w:r w:rsidR="00BB325F">
        <w:rPr>
          <w:iCs/>
        </w:rPr>
        <w:t>competencias, antes y durante el traspaso de dichas competencias.</w:t>
      </w:r>
    </w:p>
    <w:p w14:paraId="5E91F256" w14:textId="77777777" w:rsidR="00BB325F" w:rsidRDefault="00BB325F" w:rsidP="0062109F">
      <w:pPr>
        <w:pStyle w:val="ListParagraph"/>
        <w:numPr>
          <w:ilvl w:val="0"/>
          <w:numId w:val="1"/>
        </w:numPr>
        <w:jc w:val="both"/>
        <w:rPr>
          <w:iCs/>
        </w:rPr>
      </w:pPr>
      <w:r>
        <w:rPr>
          <w:iCs/>
        </w:rPr>
        <w:t>Identificar elementos facilitadores y obstaculizadores que surgen durante la implementación de las nuevas competencias.</w:t>
      </w:r>
    </w:p>
    <w:p w14:paraId="200AA523" w14:textId="77777777" w:rsidR="00BB325F" w:rsidRDefault="00BB325F" w:rsidP="0062109F">
      <w:pPr>
        <w:pStyle w:val="ListParagraph"/>
        <w:numPr>
          <w:ilvl w:val="0"/>
          <w:numId w:val="1"/>
        </w:numPr>
        <w:jc w:val="both"/>
        <w:rPr>
          <w:iCs/>
        </w:rPr>
      </w:pPr>
      <w:r>
        <w:rPr>
          <w:iCs/>
        </w:rPr>
        <w:t>Describir las capacidades institucionales presentes en el receptor de competencias.</w:t>
      </w:r>
    </w:p>
    <w:p w14:paraId="536DE5AA" w14:textId="77777777" w:rsidR="00BB325F" w:rsidRPr="005C2AE7" w:rsidRDefault="00BB325F" w:rsidP="00BB325F">
      <w:pPr>
        <w:jc w:val="both"/>
        <w:rPr>
          <w:b/>
          <w:iCs/>
          <w:sz w:val="24"/>
          <w:szCs w:val="24"/>
        </w:rPr>
      </w:pPr>
      <w:commentRangeStart w:id="3"/>
      <w:r w:rsidRPr="005C2AE7">
        <w:rPr>
          <w:b/>
          <w:iCs/>
          <w:sz w:val="24"/>
          <w:szCs w:val="24"/>
        </w:rPr>
        <w:t>METODOLOGÍA</w:t>
      </w:r>
      <w:commentRangeEnd w:id="3"/>
      <w:r w:rsidR="00A33C4E">
        <w:rPr>
          <w:rStyle w:val="CommentReference"/>
        </w:rPr>
        <w:commentReference w:id="3"/>
      </w:r>
    </w:p>
    <w:p w14:paraId="3A107C35" w14:textId="77777777" w:rsidR="00ED3AB9" w:rsidRDefault="00B678AE" w:rsidP="00BB325F">
      <w:pPr>
        <w:jc w:val="both"/>
        <w:rPr>
          <w:iCs/>
        </w:rPr>
      </w:pPr>
      <w:r>
        <w:rPr>
          <w:iCs/>
        </w:rPr>
        <w:t xml:space="preserve">La presente investigación se desarrollará a partir de un enfoque cualitativo de tipo exploratorio-descriptivo, que permitirá </w:t>
      </w:r>
      <w:r w:rsidR="00ED3AB9">
        <w:rPr>
          <w:iCs/>
        </w:rPr>
        <w:t>responder a la pregunta de investigación</w:t>
      </w:r>
      <w:r>
        <w:rPr>
          <w:iCs/>
        </w:rPr>
        <w:t xml:space="preserve">. Exploratorio, dado que a pesar de que se cuenta con bastante literatura respecto a procesos de redistribución de competencias a nivel comparado, es escaso el estado del arte respecto al proceso mismo de traspaso de competencias. Se considera que un modelo de gestión para el traspaso de competencias puede ser un aporte a los tomadores de decisión respecto a futuras reformas que impliquen el traspaso de atribuciones desde un nivel territorial a otro. </w:t>
      </w:r>
    </w:p>
    <w:p w14:paraId="2579C1BE" w14:textId="77777777" w:rsidR="00BB325F" w:rsidRDefault="00ED3AB9" w:rsidP="00BB325F">
      <w:pPr>
        <w:jc w:val="both"/>
        <w:rPr>
          <w:iCs/>
        </w:rPr>
      </w:pPr>
      <w:r>
        <w:rPr>
          <w:iCs/>
        </w:rPr>
        <w:t>Descriptivo, pues se intentarán detallar los elementos, propiedades e interacciones entre el dador de la competencia, el receptor de la competencia, el contexto sociopolítico que origina la reforma y el conducto legal que posibilita el traspaso de atribuciones. Todo esto se espera integrarlo en un modelo general que sea</w:t>
      </w:r>
      <w:r w:rsidR="00503E6E">
        <w:rPr>
          <w:iCs/>
        </w:rPr>
        <w:t xml:space="preserve"> útil no sólo para distinguir ámbitos de competenci</w:t>
      </w:r>
      <w:bookmarkStart w:id="4" w:name="_GoBack"/>
      <w:bookmarkEnd w:id="4"/>
      <w:r w:rsidR="00503E6E">
        <w:rPr>
          <w:iCs/>
        </w:rPr>
        <w:t>a que podrían ser localizados en algún nivel de gobierno que sea capaz de crear mayor valor público en la provisión de cierto bien o servicio, de acuerdo al principio de subsidiariedad vertical</w:t>
      </w:r>
      <w:r>
        <w:rPr>
          <w:iCs/>
        </w:rPr>
        <w:t xml:space="preserve"> </w:t>
      </w:r>
      <w:r w:rsidR="009A06A3" w:rsidRPr="009A06A3">
        <w:rPr>
          <w:iCs/>
        </w:rPr>
        <w:t>(IADB, 2002)</w:t>
      </w:r>
      <w:r w:rsidR="00503E6E" w:rsidRPr="009A06A3">
        <w:rPr>
          <w:iCs/>
        </w:rPr>
        <w:t>;</w:t>
      </w:r>
      <w:r w:rsidR="00503E6E">
        <w:rPr>
          <w:iCs/>
        </w:rPr>
        <w:t xml:space="preserve"> sino también para facilitar el proceso de traspaso mismo de las competencias, distinguiendo entre aquellos problemas de implementación propios de la transición hacia el nuevo receptor de la competencia y aquellas falencias relacionadas </w:t>
      </w:r>
      <w:r w:rsidR="00CB3D0C">
        <w:rPr>
          <w:iCs/>
        </w:rPr>
        <w:t xml:space="preserve">más bien </w:t>
      </w:r>
      <w:r w:rsidR="00503E6E">
        <w:rPr>
          <w:iCs/>
        </w:rPr>
        <w:t>con el diseño de la reforma.</w:t>
      </w:r>
    </w:p>
    <w:p w14:paraId="4B0A4A40" w14:textId="77777777" w:rsidR="00955CCB" w:rsidRDefault="00955CCB" w:rsidP="00BB325F">
      <w:pPr>
        <w:jc w:val="both"/>
        <w:rPr>
          <w:iCs/>
          <w:lang w:val="es-CL"/>
        </w:rPr>
      </w:pPr>
      <w:r>
        <w:rPr>
          <w:iCs/>
        </w:rPr>
        <w:t xml:space="preserve">Para recabar los datos que insumarán y retroalimentarán este modelo, se recurrirá al caso real de dos reformas en marcha de redistribución de competencias: </w:t>
      </w:r>
      <w:commentRangeStart w:id="5"/>
      <w:r>
        <w:rPr>
          <w:iCs/>
        </w:rPr>
        <w:t xml:space="preserve">i) la descentralización político-administrativa desde el gobierno central hacia los nuevos gobiernos regionales; ii) la desmunicipalización de la educación parvularia, básica y media, en el marco de la Nueva Educación Pública y el traspaso de la administración de los establecimientos a los Servicios Locales de </w:t>
      </w:r>
      <w:r w:rsidR="000D02C1">
        <w:rPr>
          <w:iCs/>
        </w:rPr>
        <w:t xml:space="preserve">Educación. </w:t>
      </w:r>
      <w:commentRangeEnd w:id="5"/>
      <w:r w:rsidR="00A33C4E">
        <w:rPr>
          <w:rStyle w:val="CommentReference"/>
        </w:rPr>
        <w:commentReference w:id="5"/>
      </w:r>
      <w:r w:rsidR="000D02C1">
        <w:rPr>
          <w:iCs/>
        </w:rPr>
        <w:t xml:space="preserve">La recolección de información se realizará a través de dos técnicas principales: </w:t>
      </w:r>
      <w:r w:rsidR="000D02C1" w:rsidRPr="000D02C1">
        <w:rPr>
          <w:b/>
          <w:iCs/>
        </w:rPr>
        <w:t xml:space="preserve">revisión </w:t>
      </w:r>
      <w:r w:rsidR="000D02C1" w:rsidRPr="000D02C1">
        <w:rPr>
          <w:b/>
          <w:iCs/>
        </w:rPr>
        <w:lastRenderedPageBreak/>
        <w:t>documental</w:t>
      </w:r>
      <w:r w:rsidR="000D02C1">
        <w:rPr>
          <w:iCs/>
        </w:rPr>
        <w:t xml:space="preserve">, en base a experiencias comparadas en que se hayan redistribuido competencias, en especial procesos de descentralización; un análisis normativo basado en las leyes y reglamentos que establecen los parámetros de la transferencia de competencias en ambas reformas; </w:t>
      </w:r>
      <w:r w:rsidR="00DB5E49">
        <w:rPr>
          <w:iCs/>
        </w:rPr>
        <w:t>y a</w:t>
      </w:r>
      <w:r w:rsidR="000D02C1">
        <w:rPr>
          <w:iCs/>
        </w:rPr>
        <w:t xml:space="preserve">nálisis de fuentes secundarias </w:t>
      </w:r>
      <w:r w:rsidR="00DB5E49">
        <w:rPr>
          <w:iCs/>
        </w:rPr>
        <w:t>tales como</w:t>
      </w:r>
      <w:r w:rsidR="000D02C1">
        <w:rPr>
          <w:iCs/>
        </w:rPr>
        <w:t xml:space="preserve"> la revisión del informe final de la Mesa Técnica</w:t>
      </w:r>
      <w:r w:rsidR="00DB5E49">
        <w:rPr>
          <w:iCs/>
        </w:rPr>
        <w:t xml:space="preserve"> de Descentralización, la </w:t>
      </w:r>
      <w:r w:rsidR="00DB5E49" w:rsidRPr="00DB5E49">
        <w:rPr>
          <w:iCs/>
          <w:lang w:val="es-CL"/>
        </w:rPr>
        <w:t>Estrategia Nacional</w:t>
      </w:r>
      <w:r w:rsidR="00DB5E49">
        <w:rPr>
          <w:iCs/>
          <w:lang w:val="es-CL"/>
        </w:rPr>
        <w:t xml:space="preserve"> de Educación Pública del Ministerio de Educación (MINEDUC); y el debate en comisiones tanto de la Cámara de Diputados y el Senado respecto a la tramitación legislativa de ambas reformas (Ley 21.074 y Ley 21.040).</w:t>
      </w:r>
    </w:p>
    <w:p w14:paraId="64CF43E0" w14:textId="77777777" w:rsidR="00DB5E49" w:rsidRDefault="00DB5E49" w:rsidP="00BB325F">
      <w:pPr>
        <w:jc w:val="both"/>
        <w:rPr>
          <w:iCs/>
          <w:lang w:val="es-CL"/>
        </w:rPr>
      </w:pPr>
      <w:r>
        <w:rPr>
          <w:iCs/>
          <w:lang w:val="es-CL"/>
        </w:rPr>
        <w:t xml:space="preserve">La segunda técnica a utilizar será la </w:t>
      </w:r>
      <w:r w:rsidRPr="004422CE">
        <w:rPr>
          <w:b/>
          <w:iCs/>
          <w:lang w:val="es-CL"/>
        </w:rPr>
        <w:t>entrevista semi-estructurada</w:t>
      </w:r>
      <w:r>
        <w:rPr>
          <w:iCs/>
          <w:lang w:val="es-CL"/>
        </w:rPr>
        <w:t xml:space="preserve"> realizada a actores clave que </w:t>
      </w:r>
      <w:r w:rsidR="00EA3030">
        <w:rPr>
          <w:iCs/>
          <w:lang w:val="es-CL"/>
        </w:rPr>
        <w:t xml:space="preserve">hayan participado </w:t>
      </w:r>
      <w:r w:rsidR="00CB3D0C">
        <w:rPr>
          <w:iCs/>
          <w:lang w:val="es-CL"/>
        </w:rPr>
        <w:t>(</w:t>
      </w:r>
      <w:r w:rsidR="00EA3030">
        <w:rPr>
          <w:iCs/>
          <w:lang w:val="es-CL"/>
        </w:rPr>
        <w:t>o participen</w:t>
      </w:r>
      <w:r w:rsidR="00CB3D0C">
        <w:rPr>
          <w:iCs/>
          <w:lang w:val="es-CL"/>
        </w:rPr>
        <w:t>)</w:t>
      </w:r>
      <w:r>
        <w:rPr>
          <w:iCs/>
          <w:lang w:val="es-CL"/>
        </w:rPr>
        <w:t xml:space="preserve"> del debate público</w:t>
      </w:r>
      <w:r w:rsidR="00EA3030">
        <w:rPr>
          <w:iCs/>
          <w:lang w:val="es-CL"/>
        </w:rPr>
        <w:t xml:space="preserve">, la regulación y la implementación de </w:t>
      </w:r>
      <w:r>
        <w:rPr>
          <w:iCs/>
          <w:lang w:val="es-CL"/>
        </w:rPr>
        <w:t xml:space="preserve">las reformas de descentralización y de desmunicipalización de la educación. </w:t>
      </w:r>
      <w:r w:rsidR="004422CE">
        <w:rPr>
          <w:iCs/>
          <w:lang w:val="es-CL"/>
        </w:rPr>
        <w:t xml:space="preserve">El muestreo </w:t>
      </w:r>
      <w:r w:rsidR="00EA3030">
        <w:rPr>
          <w:iCs/>
          <w:lang w:val="es-CL"/>
        </w:rPr>
        <w:t xml:space="preserve">para las entrevistas </w:t>
      </w:r>
      <w:r w:rsidR="004422CE">
        <w:rPr>
          <w:iCs/>
          <w:lang w:val="es-CL"/>
        </w:rPr>
        <w:t>será intencional, considerando las siguientes categorías: políticos que hayan participado del debate legislativo, expertos (académicos con experiencia en el ámbito de la reforma del Estado y abogados que hayan participado en la redacción de los reglamentos), funcionarios públicos (del gobierno central, gobierno regional y municipios)</w:t>
      </w:r>
      <w:r w:rsidR="00CE3FED">
        <w:rPr>
          <w:iCs/>
          <w:lang w:val="es-CL"/>
        </w:rPr>
        <w:t>,</w:t>
      </w:r>
      <w:r w:rsidR="004422CE">
        <w:rPr>
          <w:iCs/>
          <w:lang w:val="es-CL"/>
        </w:rPr>
        <w:t xml:space="preserve"> </w:t>
      </w:r>
      <w:r w:rsidR="00CE3FED">
        <w:rPr>
          <w:iCs/>
          <w:lang w:val="es-CL"/>
        </w:rPr>
        <w:t xml:space="preserve">y </w:t>
      </w:r>
      <w:r w:rsidR="004422CE">
        <w:rPr>
          <w:iCs/>
          <w:lang w:val="es-CL"/>
        </w:rPr>
        <w:t xml:space="preserve">operadores </w:t>
      </w:r>
      <w:r w:rsidR="00CE3FED">
        <w:rPr>
          <w:iCs/>
          <w:lang w:val="es-CL"/>
        </w:rPr>
        <w:t xml:space="preserve">encargados de implementar </w:t>
      </w:r>
      <w:r w:rsidR="004422CE">
        <w:rPr>
          <w:iCs/>
          <w:lang w:val="es-CL"/>
        </w:rPr>
        <w:t xml:space="preserve">las </w:t>
      </w:r>
      <w:r w:rsidR="00CE3FED">
        <w:rPr>
          <w:iCs/>
          <w:lang w:val="es-CL"/>
        </w:rPr>
        <w:t>reformas.</w:t>
      </w:r>
    </w:p>
    <w:p w14:paraId="7E6BE547" w14:textId="77777777" w:rsidR="00EA3030" w:rsidRPr="005C2AE7" w:rsidRDefault="00EA3030" w:rsidP="00BB325F">
      <w:pPr>
        <w:jc w:val="both"/>
        <w:rPr>
          <w:b/>
          <w:iCs/>
          <w:sz w:val="24"/>
          <w:szCs w:val="24"/>
          <w:lang w:val="es-CL"/>
        </w:rPr>
      </w:pPr>
      <w:r w:rsidRPr="005C2AE7">
        <w:rPr>
          <w:b/>
          <w:iCs/>
          <w:sz w:val="24"/>
          <w:szCs w:val="24"/>
          <w:lang w:val="es-CL"/>
        </w:rPr>
        <w:t>REFERENCIAS</w:t>
      </w:r>
    </w:p>
    <w:p w14:paraId="0C47CD22" w14:textId="77777777" w:rsidR="000842B8" w:rsidRPr="000842B8" w:rsidRDefault="000842B8" w:rsidP="000842B8">
      <w:pPr>
        <w:pStyle w:val="ListParagraph"/>
        <w:numPr>
          <w:ilvl w:val="0"/>
          <w:numId w:val="2"/>
        </w:numPr>
        <w:rPr>
          <w:iCs/>
          <w:lang w:val="es-CL"/>
        </w:rPr>
      </w:pPr>
      <w:r w:rsidRPr="000842B8">
        <w:rPr>
          <w:iCs/>
          <w:lang w:val="es-CL"/>
        </w:rPr>
        <w:t>Bellei, C. (2018) Nueva Educación Pública. Contexto, contenidos y perspectivas de la desmunicipalización. Centro de Investigación Avanzada en Educación. Universidad de Chile.</w:t>
      </w:r>
    </w:p>
    <w:p w14:paraId="39953A0A" w14:textId="77777777" w:rsidR="00A94084" w:rsidRDefault="00A94084" w:rsidP="00A94084">
      <w:pPr>
        <w:pStyle w:val="ListParagraph"/>
        <w:numPr>
          <w:ilvl w:val="0"/>
          <w:numId w:val="2"/>
        </w:numPr>
        <w:rPr>
          <w:iCs/>
          <w:lang w:val="es-CL"/>
        </w:rPr>
      </w:pPr>
      <w:r w:rsidRPr="00A94084">
        <w:rPr>
          <w:iCs/>
          <w:lang w:val="es-CL"/>
        </w:rPr>
        <w:t>Falleti, Tulia (2006). “Una teoría secuencial de la descentralización: Argentina y Colombia en perspectiva comparada”. Revista de Ciencias Sociales 46 (183): 317-351.</w:t>
      </w:r>
    </w:p>
    <w:p w14:paraId="2CE05D50" w14:textId="77777777" w:rsidR="00BA60F7" w:rsidRDefault="00BA60F7" w:rsidP="00BA60F7">
      <w:pPr>
        <w:pStyle w:val="ListParagraph"/>
        <w:numPr>
          <w:ilvl w:val="0"/>
          <w:numId w:val="2"/>
        </w:numPr>
        <w:rPr>
          <w:iCs/>
          <w:lang w:val="es-CL"/>
        </w:rPr>
      </w:pPr>
      <w:r w:rsidRPr="00BA60F7">
        <w:rPr>
          <w:iCs/>
          <w:lang w:val="es-CL"/>
        </w:rPr>
        <w:t>Ferreiro, A., Arís, M. &amp; F. Pinto (2019). Proceso de descentralización en Chile: diagnóstico y propuestas. Espacio Público. Disponible en: https://www.espaciopublico.cl/wp-content/ uploads/2020/04/Informe-Final-Descentralizaci%C3%B3n-V4.pdf.</w:t>
      </w:r>
    </w:p>
    <w:p w14:paraId="36688B13" w14:textId="77777777" w:rsidR="00BA60F7" w:rsidRPr="009A06A3" w:rsidRDefault="00BA60F7" w:rsidP="00BA60F7">
      <w:pPr>
        <w:pStyle w:val="ListParagraph"/>
        <w:numPr>
          <w:ilvl w:val="0"/>
          <w:numId w:val="2"/>
        </w:numPr>
        <w:rPr>
          <w:iCs/>
          <w:lang w:val="es-CL"/>
        </w:rPr>
      </w:pPr>
      <w:r w:rsidRPr="00BA60F7">
        <w:rPr>
          <w:iCs/>
        </w:rPr>
        <w:t>Hernández Palma, Víctor, La agenda legislativa y jurisprudencia en el marco de la descentralización, en SUBDERE (2017), Informe Anual de Avance de la Descentralización en Chile, División de Política y Estudios de la Subsecretaría de Desarrollo Regional y Administrativo</w:t>
      </w:r>
    </w:p>
    <w:p w14:paraId="63AC168A" w14:textId="77777777" w:rsidR="009A06A3" w:rsidRPr="009A06A3" w:rsidRDefault="009A06A3" w:rsidP="009A06A3">
      <w:pPr>
        <w:pStyle w:val="ListParagraph"/>
        <w:numPr>
          <w:ilvl w:val="0"/>
          <w:numId w:val="2"/>
        </w:numPr>
        <w:rPr>
          <w:iCs/>
          <w:lang w:val="es-CL"/>
        </w:rPr>
      </w:pPr>
      <w:proofErr w:type="spellStart"/>
      <w:r w:rsidRPr="0005793E">
        <w:rPr>
          <w:iCs/>
          <w:lang w:val="en-US"/>
        </w:rPr>
        <w:t>Interamerican</w:t>
      </w:r>
      <w:proofErr w:type="spellEnd"/>
      <w:r w:rsidRPr="0005793E">
        <w:rPr>
          <w:iCs/>
          <w:lang w:val="en-US"/>
        </w:rPr>
        <w:t xml:space="preserve"> Development Bank IADB (2002). Making decentralization work in Latin America and the Caribbean Development Department, Technical paper series. </w:t>
      </w:r>
      <w:proofErr w:type="spellStart"/>
      <w:r w:rsidRPr="009A06A3">
        <w:rPr>
          <w:iCs/>
          <w:lang w:val="es-CL"/>
        </w:rPr>
        <w:t>Interamerican</w:t>
      </w:r>
      <w:proofErr w:type="spellEnd"/>
      <w:r w:rsidRPr="009A06A3">
        <w:rPr>
          <w:iCs/>
          <w:lang w:val="es-CL"/>
        </w:rPr>
        <w:t xml:space="preserve"> </w:t>
      </w:r>
      <w:proofErr w:type="spellStart"/>
      <w:r w:rsidRPr="009A06A3">
        <w:rPr>
          <w:iCs/>
          <w:lang w:val="es-CL"/>
        </w:rPr>
        <w:t>Development</w:t>
      </w:r>
      <w:proofErr w:type="spellEnd"/>
      <w:r w:rsidRPr="009A06A3">
        <w:rPr>
          <w:iCs/>
          <w:lang w:val="es-CL"/>
        </w:rPr>
        <w:t xml:space="preserve"> Bank. Washington DC.</w:t>
      </w:r>
    </w:p>
    <w:p w14:paraId="5BE9A6A4" w14:textId="77777777" w:rsidR="00A94084" w:rsidRDefault="00A94084" w:rsidP="00A94084">
      <w:pPr>
        <w:pStyle w:val="ListParagraph"/>
        <w:numPr>
          <w:ilvl w:val="0"/>
          <w:numId w:val="2"/>
        </w:numPr>
        <w:jc w:val="both"/>
        <w:rPr>
          <w:iCs/>
          <w:lang w:val="es-CL"/>
        </w:rPr>
      </w:pPr>
      <w:r w:rsidRPr="0005793E">
        <w:rPr>
          <w:iCs/>
          <w:lang w:val="en-US"/>
        </w:rPr>
        <w:t xml:space="preserve">Kelly y, G. y S. </w:t>
      </w:r>
      <w:proofErr w:type="spellStart"/>
      <w:r w:rsidRPr="0005793E">
        <w:rPr>
          <w:iCs/>
          <w:lang w:val="en-US"/>
        </w:rPr>
        <w:t>Muers</w:t>
      </w:r>
      <w:proofErr w:type="spellEnd"/>
      <w:r w:rsidRPr="0005793E">
        <w:rPr>
          <w:iCs/>
          <w:lang w:val="en-US"/>
        </w:rPr>
        <w:t xml:space="preserve"> (2003) Cre</w:t>
      </w:r>
      <w:r w:rsidR="00CB3D0C" w:rsidRPr="0005793E">
        <w:rPr>
          <w:iCs/>
          <w:lang w:val="en-US"/>
        </w:rPr>
        <w:t>ating Public Value: An analytic</w:t>
      </w:r>
      <w:r w:rsidRPr="0005793E">
        <w:rPr>
          <w:iCs/>
          <w:lang w:val="en-US"/>
        </w:rPr>
        <w:t xml:space="preserve">al framework for public service reform. </w:t>
      </w:r>
      <w:proofErr w:type="spellStart"/>
      <w:r w:rsidRPr="00A94084">
        <w:rPr>
          <w:iCs/>
          <w:lang w:val="es-CL"/>
        </w:rPr>
        <w:t>Strategic</w:t>
      </w:r>
      <w:proofErr w:type="spellEnd"/>
      <w:r w:rsidRPr="00A94084">
        <w:rPr>
          <w:iCs/>
          <w:lang w:val="es-CL"/>
        </w:rPr>
        <w:t xml:space="preserve"> </w:t>
      </w:r>
      <w:proofErr w:type="spellStart"/>
      <w:r w:rsidRPr="00A94084">
        <w:rPr>
          <w:iCs/>
          <w:lang w:val="es-CL"/>
        </w:rPr>
        <w:t>Unit</w:t>
      </w:r>
      <w:proofErr w:type="spellEnd"/>
      <w:r w:rsidRPr="00A94084">
        <w:rPr>
          <w:iCs/>
          <w:lang w:val="es-CL"/>
        </w:rPr>
        <w:t xml:space="preserve">, </w:t>
      </w:r>
      <w:proofErr w:type="spellStart"/>
      <w:r w:rsidRPr="00A94084">
        <w:rPr>
          <w:iCs/>
          <w:lang w:val="es-CL"/>
        </w:rPr>
        <w:t>Cabinet</w:t>
      </w:r>
      <w:proofErr w:type="spellEnd"/>
      <w:r w:rsidRPr="00A94084">
        <w:rPr>
          <w:iCs/>
          <w:lang w:val="es-CL"/>
        </w:rPr>
        <w:t xml:space="preserve"> Office. (http://www.strategy.gov.uk).</w:t>
      </w:r>
    </w:p>
    <w:p w14:paraId="2DAABABF" w14:textId="77777777" w:rsidR="00EA3030" w:rsidRDefault="00A94084" w:rsidP="00A94084">
      <w:pPr>
        <w:pStyle w:val="ListParagraph"/>
        <w:numPr>
          <w:ilvl w:val="0"/>
          <w:numId w:val="2"/>
        </w:numPr>
        <w:jc w:val="both"/>
        <w:rPr>
          <w:iCs/>
          <w:lang w:val="es-CL"/>
        </w:rPr>
      </w:pPr>
      <w:r w:rsidRPr="00A94084">
        <w:rPr>
          <w:iCs/>
          <w:lang w:val="es-CL"/>
        </w:rPr>
        <w:t>Moore, Mark H. (1998) Gestión estratégica y creación de valor en el sector público. Buenos Aires: Paidós.</w:t>
      </w:r>
    </w:p>
    <w:p w14:paraId="09CAEAB6" w14:textId="77777777" w:rsidR="00BA60F7" w:rsidRDefault="00BA60F7" w:rsidP="00BA60F7">
      <w:pPr>
        <w:pStyle w:val="ListParagraph"/>
        <w:numPr>
          <w:ilvl w:val="0"/>
          <w:numId w:val="2"/>
        </w:numPr>
        <w:jc w:val="both"/>
        <w:rPr>
          <w:iCs/>
          <w:lang w:val="es-CL"/>
        </w:rPr>
      </w:pPr>
      <w:r w:rsidRPr="0005793E">
        <w:rPr>
          <w:iCs/>
          <w:lang w:val="en-US"/>
        </w:rPr>
        <w:t xml:space="preserve">OECD (2017). Making decentralization work in Chile: Towards stronger municipalities. </w:t>
      </w:r>
      <w:r w:rsidRPr="00BA60F7">
        <w:rPr>
          <w:iCs/>
          <w:lang w:val="es-CL"/>
        </w:rPr>
        <w:t xml:space="preserve">Disponible en: </w:t>
      </w:r>
      <w:hyperlink r:id="rId8" w:history="1">
        <w:r w:rsidR="000842B8" w:rsidRPr="000B3E59">
          <w:rPr>
            <w:rStyle w:val="Hyperlink"/>
            <w:iCs/>
            <w:lang w:val="es-CL"/>
          </w:rPr>
          <w:t>https://dx.doi.org/10.1787/9789264279049-en</w:t>
        </w:r>
      </w:hyperlink>
      <w:r w:rsidRPr="00BA60F7">
        <w:rPr>
          <w:iCs/>
          <w:lang w:val="es-CL"/>
        </w:rPr>
        <w:t>.</w:t>
      </w:r>
    </w:p>
    <w:p w14:paraId="489AF9DF" w14:textId="77777777" w:rsidR="000842B8" w:rsidRPr="000842B8" w:rsidRDefault="000842B8" w:rsidP="000842B8">
      <w:pPr>
        <w:pStyle w:val="ListParagraph"/>
        <w:numPr>
          <w:ilvl w:val="0"/>
          <w:numId w:val="2"/>
        </w:numPr>
        <w:rPr>
          <w:iCs/>
          <w:lang w:val="es-CL"/>
        </w:rPr>
      </w:pPr>
      <w:r w:rsidRPr="000842B8">
        <w:rPr>
          <w:iCs/>
          <w:lang w:val="es-CL"/>
        </w:rPr>
        <w:t>Raczynski, D.; C. Serrano (2001). Descentralización: Nudos Críticos. CIEPLAN/Asesorías para el Desarrollo.</w:t>
      </w:r>
    </w:p>
    <w:p w14:paraId="7C70AADD" w14:textId="77777777" w:rsidR="00BB5AAB" w:rsidRPr="00CB3D0C" w:rsidRDefault="00A94084" w:rsidP="00B450EE">
      <w:pPr>
        <w:pStyle w:val="ListParagraph"/>
        <w:numPr>
          <w:ilvl w:val="0"/>
          <w:numId w:val="2"/>
        </w:numPr>
        <w:jc w:val="both"/>
        <w:rPr>
          <w:lang w:val="es-CL"/>
        </w:rPr>
      </w:pPr>
      <w:r w:rsidRPr="00CB3D0C">
        <w:rPr>
          <w:iCs/>
          <w:lang w:val="es-CL"/>
        </w:rPr>
        <w:t>Sulbrandt, José (2002) Introducción a la Gerencia Social. Washington DC: INDES.</w:t>
      </w:r>
    </w:p>
    <w:sectPr w:rsidR="00BB5AAB" w:rsidRPr="00CB3D0C">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ulio Hasbún" w:date="2020-10-11T10:56:00Z" w:initials="JH">
    <w:p w14:paraId="082FB10F" w14:textId="5ED8CD0C" w:rsidR="0005793E" w:rsidRDefault="0005793E">
      <w:pPr>
        <w:pStyle w:val="CommentText"/>
      </w:pPr>
      <w:r>
        <w:rPr>
          <w:rStyle w:val="CommentReference"/>
        </w:rPr>
        <w:annotationRef/>
      </w:r>
      <w:r>
        <w:t>Es una excelente pregunta, pero genérica y abstracta. La tesis es un ejercic</w:t>
      </w:r>
      <w:r w:rsidR="00A124C5">
        <w:t xml:space="preserve">io de análisis y reflexión </w:t>
      </w:r>
      <w:r>
        <w:t>acotado y concreto, y debe tener asiento en una realidad fáctica, a menos que sea una tesis teórica. Como todas las cosas, éstas poseen pros y contras, pero de la lectura de los antecedentes se desprende que es una tesis que aterriza en un proceso tan material como es la implementación, por eso creo que no es consistente con el problema antes señalado.</w:t>
      </w:r>
    </w:p>
  </w:comment>
  <w:comment w:id="1" w:author="Julio Hasbún" w:date="2020-10-11T10:54:00Z" w:initials="JH">
    <w:p w14:paraId="28A8440C" w14:textId="6CA676A4" w:rsidR="0005793E" w:rsidRDefault="0005793E">
      <w:pPr>
        <w:pStyle w:val="CommentText"/>
      </w:pPr>
      <w:r>
        <w:rPr>
          <w:rStyle w:val="CommentReference"/>
        </w:rPr>
        <w:annotationRef/>
      </w:r>
      <w:r>
        <w:t>El objetivo general debiese considerar un recorte espacio temporal que permita ubicar en el tiempo (periodo) y espacio (un ministerio, un servicio, una ley) el estudio, focalizando y orientando el proceso. Este objetivo es genérico, y no clarifica el dónde y cuándo.</w:t>
      </w:r>
      <w:r w:rsidR="00A124C5">
        <w:t xml:space="preserve"> ¿Estudiando un proceso de implementación en un sector del estado es posible proponer un esquema general que sea relevante y pertinente a todos los demás sectores? Entiendo que es interesante la propuesta, pero quizá el fraseo tiende a maximizar sus posibilidades prácticas.</w:t>
      </w:r>
    </w:p>
  </w:comment>
  <w:comment w:id="2" w:author="Julio Hasbún" w:date="2020-10-11T11:00:00Z" w:initials="JH">
    <w:p w14:paraId="60C87473" w14:textId="736604CD" w:rsidR="00A124C5" w:rsidRDefault="00A124C5">
      <w:pPr>
        <w:pStyle w:val="CommentText"/>
      </w:pPr>
      <w:r>
        <w:rPr>
          <w:rStyle w:val="CommentReference"/>
        </w:rPr>
        <w:annotationRef/>
      </w:r>
      <w:r>
        <w:t xml:space="preserve">Están </w:t>
      </w:r>
      <w:r w:rsidR="00A33C4E">
        <w:t xml:space="preserve">muy </w:t>
      </w:r>
      <w:r>
        <w:t>bien los objetivos específicos, y ganarían más precisión si fueran apoyados por un objetivo general más tangible.</w:t>
      </w:r>
    </w:p>
  </w:comment>
  <w:comment w:id="3" w:author="Julio Hasbún" w:date="2020-10-11T11:13:00Z" w:initials="JH">
    <w:p w14:paraId="039975CD" w14:textId="292BBBFD" w:rsidR="00A33C4E" w:rsidRDefault="00A33C4E">
      <w:pPr>
        <w:pStyle w:val="CommentText"/>
      </w:pPr>
      <w:r>
        <w:rPr>
          <w:rStyle w:val="CommentReference"/>
        </w:rPr>
        <w:annotationRef/>
      </w:r>
      <w:r>
        <w:t>Los métodos a utilizar están muy bien logrados.</w:t>
      </w:r>
    </w:p>
  </w:comment>
  <w:comment w:id="5" w:author="Julio Hasbún" w:date="2020-10-11T11:12:00Z" w:initials="JH">
    <w:p w14:paraId="2BD33106" w14:textId="1DEC0C1D" w:rsidR="00A33C4E" w:rsidRDefault="00A33C4E">
      <w:pPr>
        <w:pStyle w:val="CommentText"/>
      </w:pPr>
      <w:r>
        <w:rPr>
          <w:rStyle w:val="CommentReference"/>
        </w:rPr>
        <w:annotationRef/>
      </w:r>
      <w:r>
        <w:t>Estos elementos son centrales para el título de la tesis, y para la pregunta de investigación.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2FB10F" w15:done="0"/>
  <w15:commentEx w15:paraId="28A8440C" w15:done="0"/>
  <w15:commentEx w15:paraId="60C87473" w15:done="0"/>
  <w15:commentEx w15:paraId="039975CD" w15:done="0"/>
  <w15:commentEx w15:paraId="2BD3310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E7EB8"/>
    <w:multiLevelType w:val="hybridMultilevel"/>
    <w:tmpl w:val="75BE97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5E867F7C"/>
    <w:multiLevelType w:val="hybridMultilevel"/>
    <w:tmpl w:val="CF00D7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o Hasbún">
    <w15:presenceInfo w15:providerId="None" w15:userId="Julio Hasbú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F17"/>
    <w:rsid w:val="0005793E"/>
    <w:rsid w:val="000842B8"/>
    <w:rsid w:val="000D02C1"/>
    <w:rsid w:val="00121F17"/>
    <w:rsid w:val="0012243A"/>
    <w:rsid w:val="00147467"/>
    <w:rsid w:val="00223518"/>
    <w:rsid w:val="00235E61"/>
    <w:rsid w:val="002F2957"/>
    <w:rsid w:val="0034302C"/>
    <w:rsid w:val="003868A8"/>
    <w:rsid w:val="004422CE"/>
    <w:rsid w:val="00492F1A"/>
    <w:rsid w:val="004D3CDB"/>
    <w:rsid w:val="00503E6E"/>
    <w:rsid w:val="005C2AE7"/>
    <w:rsid w:val="0062109F"/>
    <w:rsid w:val="00634360"/>
    <w:rsid w:val="00655098"/>
    <w:rsid w:val="0071218F"/>
    <w:rsid w:val="00824C67"/>
    <w:rsid w:val="00830D71"/>
    <w:rsid w:val="00955CCB"/>
    <w:rsid w:val="009A06A3"/>
    <w:rsid w:val="00A124C5"/>
    <w:rsid w:val="00A33C4E"/>
    <w:rsid w:val="00A56A66"/>
    <w:rsid w:val="00A94084"/>
    <w:rsid w:val="00AF08CE"/>
    <w:rsid w:val="00B133F1"/>
    <w:rsid w:val="00B450EE"/>
    <w:rsid w:val="00B678AE"/>
    <w:rsid w:val="00B728C1"/>
    <w:rsid w:val="00BA60F7"/>
    <w:rsid w:val="00BB325F"/>
    <w:rsid w:val="00BB5AAB"/>
    <w:rsid w:val="00C112BF"/>
    <w:rsid w:val="00C30A9F"/>
    <w:rsid w:val="00CB3D0C"/>
    <w:rsid w:val="00CE3FED"/>
    <w:rsid w:val="00D12505"/>
    <w:rsid w:val="00DB5E49"/>
    <w:rsid w:val="00E162CD"/>
    <w:rsid w:val="00EA3030"/>
    <w:rsid w:val="00ED3AB9"/>
    <w:rsid w:val="00F924D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DE62"/>
  <w15:chartTrackingRefBased/>
  <w15:docId w15:val="{10363C44-E2B2-4513-9218-80B1811B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109F"/>
    <w:pPr>
      <w:ind w:left="720"/>
      <w:contextualSpacing/>
    </w:pPr>
  </w:style>
  <w:style w:type="character" w:styleId="Hyperlink">
    <w:name w:val="Hyperlink"/>
    <w:basedOn w:val="DefaultParagraphFont"/>
    <w:uiPriority w:val="99"/>
    <w:unhideWhenUsed/>
    <w:rsid w:val="000842B8"/>
    <w:rPr>
      <w:color w:val="0563C1" w:themeColor="hyperlink"/>
      <w:u w:val="single"/>
    </w:rPr>
  </w:style>
  <w:style w:type="character" w:styleId="CommentReference">
    <w:name w:val="annotation reference"/>
    <w:basedOn w:val="DefaultParagraphFont"/>
    <w:uiPriority w:val="99"/>
    <w:semiHidden/>
    <w:unhideWhenUsed/>
    <w:rsid w:val="0005793E"/>
    <w:rPr>
      <w:sz w:val="16"/>
      <w:szCs w:val="16"/>
    </w:rPr>
  </w:style>
  <w:style w:type="paragraph" w:styleId="CommentText">
    <w:name w:val="annotation text"/>
    <w:basedOn w:val="Normal"/>
    <w:link w:val="CommentTextChar"/>
    <w:uiPriority w:val="99"/>
    <w:semiHidden/>
    <w:unhideWhenUsed/>
    <w:rsid w:val="0005793E"/>
    <w:pPr>
      <w:spacing w:line="240" w:lineRule="auto"/>
    </w:pPr>
    <w:rPr>
      <w:sz w:val="20"/>
      <w:szCs w:val="20"/>
    </w:rPr>
  </w:style>
  <w:style w:type="character" w:customStyle="1" w:styleId="CommentTextChar">
    <w:name w:val="Comment Text Char"/>
    <w:basedOn w:val="DefaultParagraphFont"/>
    <w:link w:val="CommentText"/>
    <w:uiPriority w:val="99"/>
    <w:semiHidden/>
    <w:rsid w:val="0005793E"/>
    <w:rPr>
      <w:sz w:val="20"/>
      <w:szCs w:val="20"/>
      <w:lang w:val="es-ES"/>
    </w:rPr>
  </w:style>
  <w:style w:type="paragraph" w:styleId="CommentSubject">
    <w:name w:val="annotation subject"/>
    <w:basedOn w:val="CommentText"/>
    <w:next w:val="CommentText"/>
    <w:link w:val="CommentSubjectChar"/>
    <w:uiPriority w:val="99"/>
    <w:semiHidden/>
    <w:unhideWhenUsed/>
    <w:rsid w:val="0005793E"/>
    <w:rPr>
      <w:b/>
      <w:bCs/>
    </w:rPr>
  </w:style>
  <w:style w:type="character" w:customStyle="1" w:styleId="CommentSubjectChar">
    <w:name w:val="Comment Subject Char"/>
    <w:basedOn w:val="CommentTextChar"/>
    <w:link w:val="CommentSubject"/>
    <w:uiPriority w:val="99"/>
    <w:semiHidden/>
    <w:rsid w:val="0005793E"/>
    <w:rPr>
      <w:b/>
      <w:bCs/>
      <w:sz w:val="20"/>
      <w:szCs w:val="20"/>
      <w:lang w:val="es-ES"/>
    </w:rPr>
  </w:style>
  <w:style w:type="paragraph" w:styleId="BalloonText">
    <w:name w:val="Balloon Text"/>
    <w:basedOn w:val="Normal"/>
    <w:link w:val="BalloonTextChar"/>
    <w:uiPriority w:val="99"/>
    <w:semiHidden/>
    <w:unhideWhenUsed/>
    <w:rsid w:val="000579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93E"/>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787/9789264279049-en" TargetMode="Externa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1F3C5-3F7F-4C60-A1B6-8D536283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1523</Words>
  <Characters>8378</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ChristianParada</dc:creator>
  <cp:keywords/>
  <dc:description/>
  <cp:lastModifiedBy>Julio Hasbún</cp:lastModifiedBy>
  <cp:revision>2</cp:revision>
  <dcterms:created xsi:type="dcterms:W3CDTF">2020-10-11T14:14:00Z</dcterms:created>
  <dcterms:modified xsi:type="dcterms:W3CDTF">2020-10-11T14:14:00Z</dcterms:modified>
</cp:coreProperties>
</file>