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1EA" w:rsidRDefault="00D651EA" w:rsidP="00D651EA">
      <w:pPr>
        <w:jc w:val="both"/>
      </w:pPr>
      <w:r>
        <w:t>Estadística para la Economía y Gestión, IN3401-2</w:t>
      </w:r>
    </w:p>
    <w:p w:rsidR="00D651EA" w:rsidRDefault="00D651EA" w:rsidP="00D651EA">
      <w:pPr>
        <w:jc w:val="both"/>
      </w:pPr>
      <w:r>
        <w:t>Profesores: Mauricio Olivares y Richard Weber</w:t>
      </w:r>
    </w:p>
    <w:p w:rsidR="00D651EA" w:rsidRDefault="00D651EA" w:rsidP="00D651EA">
      <w:pPr>
        <w:jc w:val="both"/>
      </w:pPr>
      <w:r>
        <w:t>Auxiliares: José Miguel Alvarado, Angélica Córdova, Rodrigo Fernández, Patricio Pérez, Tomás Wilner</w:t>
      </w:r>
    </w:p>
    <w:p w:rsidR="00D651EA" w:rsidRDefault="00D651EA" w:rsidP="00D651EA">
      <w:pPr>
        <w:jc w:val="center"/>
        <w:rPr>
          <w:b/>
          <w:u w:val="single"/>
        </w:rPr>
      </w:pPr>
      <w:r w:rsidRPr="008705CB">
        <w:rPr>
          <w:b/>
          <w:u w:val="single"/>
        </w:rPr>
        <w:t>Auxiliar 10</w:t>
      </w:r>
    </w:p>
    <w:p w:rsidR="00D651EA" w:rsidRPr="008705CB" w:rsidRDefault="00D651EA" w:rsidP="00D651EA">
      <w:pPr>
        <w:jc w:val="center"/>
        <w:rPr>
          <w:b/>
          <w:u w:val="single"/>
        </w:rPr>
      </w:pPr>
    </w:p>
    <w:p w:rsidR="00D651EA" w:rsidRDefault="00D651EA" w:rsidP="00D651EA"/>
    <w:p w:rsidR="00D651EA" w:rsidRDefault="00D651EA" w:rsidP="00D651EA">
      <w:r>
        <w:t>En un estudio de Opinión Pública se testeó el nivel de gusto por artistas musicales chilenos en una escala que va desde 1 a 7, donde 1 indica “No me gusta nada” y 7 “Me gusta Mucho. Fueron 11 artistas nacionales (bandas y solistas) los testeados:</w:t>
      </w:r>
    </w:p>
    <w:tbl>
      <w:tblPr>
        <w:tblW w:w="6664" w:type="dxa"/>
        <w:jc w:val="center"/>
        <w:tblCellMar>
          <w:left w:w="70" w:type="dxa"/>
          <w:right w:w="70" w:type="dxa"/>
        </w:tblCellMar>
        <w:tblLook w:val="04A0"/>
      </w:tblPr>
      <w:tblGrid>
        <w:gridCol w:w="364"/>
        <w:gridCol w:w="3040"/>
        <w:gridCol w:w="473"/>
        <w:gridCol w:w="2787"/>
      </w:tblGrid>
      <w:tr w:rsidR="00D651EA" w:rsidRPr="00AD3560" w:rsidTr="0013536B">
        <w:trPr>
          <w:trHeight w:val="300"/>
          <w:jc w:val="center"/>
        </w:trPr>
        <w:tc>
          <w:tcPr>
            <w:tcW w:w="3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51EA" w:rsidRPr="00AD3560" w:rsidRDefault="00D651EA" w:rsidP="0013536B">
            <w:pPr>
              <w:spacing w:after="0" w:line="240" w:lineRule="auto"/>
              <w:jc w:val="right"/>
              <w:rPr>
                <w:rFonts w:eastAsia="Times New Roman"/>
                <w:color w:val="000000"/>
                <w:lang w:eastAsia="es-CL"/>
              </w:rPr>
            </w:pPr>
            <w:r w:rsidRPr="00AD3560">
              <w:rPr>
                <w:rFonts w:eastAsia="Times New Roman"/>
                <w:color w:val="000000"/>
                <w:lang w:eastAsia="es-CL"/>
              </w:rPr>
              <w:t>1</w:t>
            </w:r>
          </w:p>
        </w:tc>
        <w:tc>
          <w:tcPr>
            <w:tcW w:w="3040" w:type="dxa"/>
            <w:tcBorders>
              <w:top w:val="single" w:sz="4" w:space="0" w:color="auto"/>
              <w:left w:val="nil"/>
              <w:bottom w:val="single" w:sz="4" w:space="0" w:color="auto"/>
              <w:right w:val="single" w:sz="4" w:space="0" w:color="auto"/>
            </w:tcBorders>
            <w:shd w:val="clear" w:color="auto" w:fill="auto"/>
            <w:noWrap/>
            <w:vAlign w:val="bottom"/>
            <w:hideMark/>
          </w:tcPr>
          <w:p w:rsidR="00D651EA" w:rsidRPr="00AD3560" w:rsidRDefault="00D651EA" w:rsidP="0013536B">
            <w:pPr>
              <w:spacing w:after="0" w:line="240" w:lineRule="auto"/>
              <w:rPr>
                <w:rFonts w:eastAsia="Times New Roman"/>
                <w:color w:val="000000"/>
                <w:lang w:eastAsia="es-CL"/>
              </w:rPr>
            </w:pPr>
            <w:r w:rsidRPr="00AD3560">
              <w:rPr>
                <w:rFonts w:eastAsia="Times New Roman"/>
                <w:color w:val="000000"/>
                <w:lang w:eastAsia="es-CL"/>
              </w:rPr>
              <w:t>Inti Illimani</w:t>
            </w:r>
          </w:p>
        </w:tc>
        <w:tc>
          <w:tcPr>
            <w:tcW w:w="473" w:type="dxa"/>
            <w:tcBorders>
              <w:top w:val="single" w:sz="4" w:space="0" w:color="auto"/>
              <w:left w:val="nil"/>
              <w:bottom w:val="single" w:sz="4" w:space="0" w:color="auto"/>
              <w:right w:val="single" w:sz="4" w:space="0" w:color="auto"/>
            </w:tcBorders>
            <w:vAlign w:val="bottom"/>
          </w:tcPr>
          <w:p w:rsidR="00D651EA" w:rsidRPr="00AD3560" w:rsidRDefault="00D651EA" w:rsidP="0013536B">
            <w:pPr>
              <w:spacing w:after="0" w:line="240" w:lineRule="auto"/>
              <w:jc w:val="right"/>
              <w:rPr>
                <w:rFonts w:eastAsia="Times New Roman"/>
                <w:color w:val="000000"/>
                <w:lang w:eastAsia="es-CL"/>
              </w:rPr>
            </w:pPr>
            <w:r w:rsidRPr="00AD3560">
              <w:rPr>
                <w:rFonts w:eastAsia="Times New Roman"/>
                <w:color w:val="000000"/>
                <w:lang w:eastAsia="es-CL"/>
              </w:rPr>
              <w:t>6</w:t>
            </w:r>
          </w:p>
        </w:tc>
        <w:tc>
          <w:tcPr>
            <w:tcW w:w="2787" w:type="dxa"/>
            <w:tcBorders>
              <w:top w:val="single" w:sz="4" w:space="0" w:color="auto"/>
              <w:left w:val="single" w:sz="4" w:space="0" w:color="auto"/>
              <w:bottom w:val="single" w:sz="4" w:space="0" w:color="auto"/>
              <w:right w:val="single" w:sz="4" w:space="0" w:color="auto"/>
            </w:tcBorders>
            <w:vAlign w:val="bottom"/>
          </w:tcPr>
          <w:p w:rsidR="00D651EA" w:rsidRPr="00AD3560" w:rsidRDefault="00D651EA" w:rsidP="0013536B">
            <w:pPr>
              <w:spacing w:after="0" w:line="240" w:lineRule="auto"/>
              <w:rPr>
                <w:rFonts w:eastAsia="Times New Roman"/>
                <w:color w:val="000000"/>
                <w:lang w:eastAsia="es-CL"/>
              </w:rPr>
            </w:pPr>
            <w:r w:rsidRPr="00AD3560">
              <w:rPr>
                <w:rFonts w:eastAsia="Times New Roman"/>
                <w:color w:val="000000"/>
                <w:lang w:eastAsia="es-CL"/>
              </w:rPr>
              <w:t>Gloria Simonetti</w:t>
            </w:r>
          </w:p>
        </w:tc>
      </w:tr>
      <w:tr w:rsidR="00D651EA" w:rsidRPr="00AD3560" w:rsidTr="0013536B">
        <w:trPr>
          <w:trHeight w:val="300"/>
          <w:jc w:val="center"/>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rsidR="00D651EA" w:rsidRPr="00AD3560" w:rsidRDefault="00D651EA" w:rsidP="0013536B">
            <w:pPr>
              <w:spacing w:after="0" w:line="240" w:lineRule="auto"/>
              <w:jc w:val="right"/>
              <w:rPr>
                <w:rFonts w:eastAsia="Times New Roman"/>
                <w:color w:val="000000"/>
                <w:lang w:eastAsia="es-CL"/>
              </w:rPr>
            </w:pPr>
            <w:r w:rsidRPr="00AD3560">
              <w:rPr>
                <w:rFonts w:eastAsia="Times New Roman"/>
                <w:color w:val="000000"/>
                <w:lang w:eastAsia="es-CL"/>
              </w:rPr>
              <w:t>2</w:t>
            </w:r>
          </w:p>
        </w:tc>
        <w:tc>
          <w:tcPr>
            <w:tcW w:w="3040" w:type="dxa"/>
            <w:tcBorders>
              <w:top w:val="nil"/>
              <w:left w:val="nil"/>
              <w:bottom w:val="single" w:sz="4" w:space="0" w:color="auto"/>
              <w:right w:val="single" w:sz="4" w:space="0" w:color="auto"/>
            </w:tcBorders>
            <w:shd w:val="clear" w:color="auto" w:fill="auto"/>
            <w:noWrap/>
            <w:vAlign w:val="bottom"/>
            <w:hideMark/>
          </w:tcPr>
          <w:p w:rsidR="00D651EA" w:rsidRPr="00AD3560" w:rsidRDefault="00D651EA" w:rsidP="0013536B">
            <w:pPr>
              <w:spacing w:after="0" w:line="240" w:lineRule="auto"/>
              <w:rPr>
                <w:rFonts w:eastAsia="Times New Roman"/>
                <w:color w:val="000000"/>
                <w:lang w:eastAsia="es-CL"/>
              </w:rPr>
            </w:pPr>
            <w:r w:rsidRPr="00AD3560">
              <w:rPr>
                <w:rFonts w:eastAsia="Times New Roman"/>
                <w:color w:val="000000"/>
                <w:lang w:eastAsia="es-CL"/>
              </w:rPr>
              <w:t>Los Jaivas</w:t>
            </w:r>
          </w:p>
        </w:tc>
        <w:tc>
          <w:tcPr>
            <w:tcW w:w="473" w:type="dxa"/>
            <w:tcBorders>
              <w:top w:val="single" w:sz="4" w:space="0" w:color="auto"/>
              <w:left w:val="nil"/>
              <w:bottom w:val="single" w:sz="4" w:space="0" w:color="auto"/>
              <w:right w:val="single" w:sz="4" w:space="0" w:color="auto"/>
            </w:tcBorders>
            <w:vAlign w:val="bottom"/>
          </w:tcPr>
          <w:p w:rsidR="00D651EA" w:rsidRPr="00AD3560" w:rsidRDefault="00D651EA" w:rsidP="0013536B">
            <w:pPr>
              <w:spacing w:after="0" w:line="240" w:lineRule="auto"/>
              <w:jc w:val="right"/>
              <w:rPr>
                <w:rFonts w:eastAsia="Times New Roman"/>
                <w:color w:val="000000"/>
                <w:lang w:eastAsia="es-CL"/>
              </w:rPr>
            </w:pPr>
            <w:r w:rsidRPr="00AD3560">
              <w:rPr>
                <w:rFonts w:eastAsia="Times New Roman"/>
                <w:color w:val="000000"/>
                <w:lang w:eastAsia="es-CL"/>
              </w:rPr>
              <w:t>7</w:t>
            </w:r>
          </w:p>
        </w:tc>
        <w:tc>
          <w:tcPr>
            <w:tcW w:w="2787" w:type="dxa"/>
            <w:tcBorders>
              <w:top w:val="nil"/>
              <w:left w:val="single" w:sz="4" w:space="0" w:color="auto"/>
              <w:bottom w:val="single" w:sz="4" w:space="0" w:color="auto"/>
              <w:right w:val="single" w:sz="4" w:space="0" w:color="auto"/>
            </w:tcBorders>
            <w:vAlign w:val="bottom"/>
          </w:tcPr>
          <w:p w:rsidR="00D651EA" w:rsidRPr="00AD3560" w:rsidRDefault="00D651EA" w:rsidP="0013536B">
            <w:pPr>
              <w:spacing w:after="0" w:line="240" w:lineRule="auto"/>
              <w:rPr>
                <w:rFonts w:eastAsia="Times New Roman"/>
                <w:color w:val="000000"/>
                <w:lang w:eastAsia="es-CL"/>
              </w:rPr>
            </w:pPr>
            <w:r w:rsidRPr="00AD3560">
              <w:rPr>
                <w:rFonts w:eastAsia="Times New Roman"/>
                <w:color w:val="000000"/>
                <w:lang w:eastAsia="es-CL"/>
              </w:rPr>
              <w:t>Victor Jara</w:t>
            </w:r>
          </w:p>
        </w:tc>
      </w:tr>
      <w:tr w:rsidR="00D651EA" w:rsidRPr="00AD3560" w:rsidTr="0013536B">
        <w:trPr>
          <w:trHeight w:val="300"/>
          <w:jc w:val="center"/>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rsidR="00D651EA" w:rsidRPr="00AD3560" w:rsidRDefault="00D651EA" w:rsidP="0013536B">
            <w:pPr>
              <w:spacing w:after="0" w:line="240" w:lineRule="auto"/>
              <w:jc w:val="right"/>
              <w:rPr>
                <w:rFonts w:eastAsia="Times New Roman"/>
                <w:color w:val="000000"/>
                <w:lang w:eastAsia="es-CL"/>
              </w:rPr>
            </w:pPr>
            <w:r w:rsidRPr="00AD3560">
              <w:rPr>
                <w:rFonts w:eastAsia="Times New Roman"/>
                <w:color w:val="000000"/>
                <w:lang w:eastAsia="es-CL"/>
              </w:rPr>
              <w:t>3</w:t>
            </w:r>
          </w:p>
        </w:tc>
        <w:tc>
          <w:tcPr>
            <w:tcW w:w="3040" w:type="dxa"/>
            <w:tcBorders>
              <w:top w:val="nil"/>
              <w:left w:val="nil"/>
              <w:bottom w:val="single" w:sz="4" w:space="0" w:color="auto"/>
              <w:right w:val="single" w:sz="4" w:space="0" w:color="auto"/>
            </w:tcBorders>
            <w:shd w:val="clear" w:color="auto" w:fill="auto"/>
            <w:noWrap/>
            <w:vAlign w:val="bottom"/>
            <w:hideMark/>
          </w:tcPr>
          <w:p w:rsidR="00D651EA" w:rsidRPr="00AD3560" w:rsidRDefault="00D651EA" w:rsidP="0013536B">
            <w:pPr>
              <w:spacing w:after="0" w:line="240" w:lineRule="auto"/>
              <w:rPr>
                <w:rFonts w:eastAsia="Times New Roman"/>
                <w:color w:val="000000"/>
                <w:lang w:eastAsia="es-CL"/>
              </w:rPr>
            </w:pPr>
            <w:r w:rsidRPr="00AD3560">
              <w:rPr>
                <w:rFonts w:eastAsia="Times New Roman"/>
                <w:color w:val="000000"/>
                <w:lang w:eastAsia="es-CL"/>
              </w:rPr>
              <w:t>Los Huasos Quincheros</w:t>
            </w:r>
          </w:p>
        </w:tc>
        <w:tc>
          <w:tcPr>
            <w:tcW w:w="473" w:type="dxa"/>
            <w:tcBorders>
              <w:top w:val="single" w:sz="4" w:space="0" w:color="auto"/>
              <w:left w:val="nil"/>
              <w:bottom w:val="single" w:sz="4" w:space="0" w:color="auto"/>
              <w:right w:val="single" w:sz="4" w:space="0" w:color="auto"/>
            </w:tcBorders>
            <w:vAlign w:val="bottom"/>
          </w:tcPr>
          <w:p w:rsidR="00D651EA" w:rsidRPr="00AD3560" w:rsidRDefault="00D651EA" w:rsidP="0013536B">
            <w:pPr>
              <w:spacing w:after="0" w:line="240" w:lineRule="auto"/>
              <w:jc w:val="right"/>
              <w:rPr>
                <w:rFonts w:eastAsia="Times New Roman"/>
                <w:color w:val="000000"/>
                <w:lang w:eastAsia="es-CL"/>
              </w:rPr>
            </w:pPr>
            <w:r w:rsidRPr="00AD3560">
              <w:rPr>
                <w:rFonts w:eastAsia="Times New Roman"/>
                <w:color w:val="000000"/>
                <w:lang w:eastAsia="es-CL"/>
              </w:rPr>
              <w:t>8</w:t>
            </w:r>
          </w:p>
        </w:tc>
        <w:tc>
          <w:tcPr>
            <w:tcW w:w="2787" w:type="dxa"/>
            <w:tcBorders>
              <w:top w:val="nil"/>
              <w:left w:val="single" w:sz="4" w:space="0" w:color="auto"/>
              <w:bottom w:val="single" w:sz="4" w:space="0" w:color="auto"/>
              <w:right w:val="single" w:sz="4" w:space="0" w:color="auto"/>
            </w:tcBorders>
            <w:vAlign w:val="bottom"/>
          </w:tcPr>
          <w:p w:rsidR="00D651EA" w:rsidRPr="00AD3560" w:rsidRDefault="00D651EA" w:rsidP="0013536B">
            <w:pPr>
              <w:spacing w:after="0" w:line="240" w:lineRule="auto"/>
              <w:rPr>
                <w:rFonts w:eastAsia="Times New Roman"/>
                <w:color w:val="000000"/>
                <w:lang w:eastAsia="es-CL"/>
              </w:rPr>
            </w:pPr>
            <w:r w:rsidRPr="00AD3560">
              <w:rPr>
                <w:rFonts w:eastAsia="Times New Roman"/>
                <w:color w:val="000000"/>
                <w:lang w:eastAsia="es-CL"/>
              </w:rPr>
              <w:t>Los Prisioneros</w:t>
            </w:r>
          </w:p>
        </w:tc>
      </w:tr>
      <w:tr w:rsidR="00D651EA" w:rsidRPr="00AD3560" w:rsidTr="0013536B">
        <w:trPr>
          <w:trHeight w:val="300"/>
          <w:jc w:val="center"/>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rsidR="00D651EA" w:rsidRPr="00AD3560" w:rsidRDefault="00D651EA" w:rsidP="0013536B">
            <w:pPr>
              <w:spacing w:after="0" w:line="240" w:lineRule="auto"/>
              <w:jc w:val="right"/>
              <w:rPr>
                <w:rFonts w:eastAsia="Times New Roman"/>
                <w:color w:val="000000"/>
                <w:lang w:eastAsia="es-CL"/>
              </w:rPr>
            </w:pPr>
            <w:r w:rsidRPr="00AD3560">
              <w:rPr>
                <w:rFonts w:eastAsia="Times New Roman"/>
                <w:color w:val="000000"/>
                <w:lang w:eastAsia="es-CL"/>
              </w:rPr>
              <w:t>4</w:t>
            </w:r>
          </w:p>
        </w:tc>
        <w:tc>
          <w:tcPr>
            <w:tcW w:w="3040" w:type="dxa"/>
            <w:tcBorders>
              <w:top w:val="nil"/>
              <w:left w:val="nil"/>
              <w:bottom w:val="single" w:sz="4" w:space="0" w:color="auto"/>
              <w:right w:val="single" w:sz="4" w:space="0" w:color="auto"/>
            </w:tcBorders>
            <w:shd w:val="clear" w:color="auto" w:fill="auto"/>
            <w:noWrap/>
            <w:vAlign w:val="bottom"/>
            <w:hideMark/>
          </w:tcPr>
          <w:p w:rsidR="00D651EA" w:rsidRPr="00AD3560" w:rsidRDefault="00D651EA" w:rsidP="0013536B">
            <w:pPr>
              <w:spacing w:after="0" w:line="240" w:lineRule="auto"/>
              <w:rPr>
                <w:rFonts w:eastAsia="Times New Roman"/>
                <w:color w:val="000000"/>
                <w:lang w:eastAsia="es-CL"/>
              </w:rPr>
            </w:pPr>
            <w:r w:rsidRPr="00AD3560">
              <w:rPr>
                <w:rFonts w:eastAsia="Times New Roman"/>
                <w:color w:val="000000"/>
                <w:lang w:eastAsia="es-CL"/>
              </w:rPr>
              <w:t>José Alfredo "El Pollo" Fuentes</w:t>
            </w:r>
          </w:p>
        </w:tc>
        <w:tc>
          <w:tcPr>
            <w:tcW w:w="473" w:type="dxa"/>
            <w:tcBorders>
              <w:top w:val="single" w:sz="4" w:space="0" w:color="auto"/>
              <w:left w:val="nil"/>
              <w:bottom w:val="single" w:sz="4" w:space="0" w:color="auto"/>
              <w:right w:val="single" w:sz="4" w:space="0" w:color="auto"/>
            </w:tcBorders>
            <w:vAlign w:val="bottom"/>
          </w:tcPr>
          <w:p w:rsidR="00D651EA" w:rsidRPr="00AD3560" w:rsidRDefault="00D651EA" w:rsidP="0013536B">
            <w:pPr>
              <w:spacing w:after="0" w:line="240" w:lineRule="auto"/>
              <w:jc w:val="right"/>
              <w:rPr>
                <w:rFonts w:eastAsia="Times New Roman"/>
                <w:color w:val="000000"/>
                <w:lang w:eastAsia="es-CL"/>
              </w:rPr>
            </w:pPr>
            <w:r w:rsidRPr="00AD3560">
              <w:rPr>
                <w:rFonts w:eastAsia="Times New Roman"/>
                <w:color w:val="000000"/>
                <w:lang w:eastAsia="es-CL"/>
              </w:rPr>
              <w:t>9</w:t>
            </w:r>
          </w:p>
        </w:tc>
        <w:tc>
          <w:tcPr>
            <w:tcW w:w="2787" w:type="dxa"/>
            <w:tcBorders>
              <w:top w:val="nil"/>
              <w:left w:val="single" w:sz="4" w:space="0" w:color="auto"/>
              <w:bottom w:val="single" w:sz="4" w:space="0" w:color="auto"/>
              <w:right w:val="single" w:sz="4" w:space="0" w:color="auto"/>
            </w:tcBorders>
            <w:vAlign w:val="bottom"/>
          </w:tcPr>
          <w:p w:rsidR="00D651EA" w:rsidRPr="00AD3560" w:rsidRDefault="00D651EA" w:rsidP="0013536B">
            <w:pPr>
              <w:spacing w:after="0" w:line="240" w:lineRule="auto"/>
              <w:rPr>
                <w:rFonts w:eastAsia="Times New Roman"/>
                <w:color w:val="000000"/>
                <w:lang w:eastAsia="es-CL"/>
              </w:rPr>
            </w:pPr>
            <w:r w:rsidRPr="00AD3560">
              <w:rPr>
                <w:rFonts w:eastAsia="Times New Roman"/>
                <w:color w:val="000000"/>
                <w:lang w:eastAsia="es-CL"/>
              </w:rPr>
              <w:t>Miriam Hernández</w:t>
            </w:r>
          </w:p>
        </w:tc>
      </w:tr>
      <w:tr w:rsidR="00D651EA" w:rsidRPr="00AD3560" w:rsidTr="0013536B">
        <w:trPr>
          <w:trHeight w:val="300"/>
          <w:jc w:val="center"/>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rsidR="00D651EA" w:rsidRPr="00AD3560" w:rsidRDefault="00D651EA" w:rsidP="0013536B">
            <w:pPr>
              <w:spacing w:after="0" w:line="240" w:lineRule="auto"/>
              <w:jc w:val="right"/>
              <w:rPr>
                <w:rFonts w:eastAsia="Times New Roman"/>
                <w:color w:val="000000"/>
                <w:lang w:eastAsia="es-CL"/>
              </w:rPr>
            </w:pPr>
            <w:r w:rsidRPr="00AD3560">
              <w:rPr>
                <w:rFonts w:eastAsia="Times New Roman"/>
                <w:color w:val="000000"/>
                <w:lang w:eastAsia="es-CL"/>
              </w:rPr>
              <w:t>5</w:t>
            </w:r>
          </w:p>
        </w:tc>
        <w:tc>
          <w:tcPr>
            <w:tcW w:w="3040" w:type="dxa"/>
            <w:tcBorders>
              <w:top w:val="nil"/>
              <w:left w:val="nil"/>
              <w:bottom w:val="single" w:sz="4" w:space="0" w:color="auto"/>
              <w:right w:val="single" w:sz="4" w:space="0" w:color="auto"/>
            </w:tcBorders>
            <w:shd w:val="clear" w:color="auto" w:fill="auto"/>
            <w:noWrap/>
            <w:vAlign w:val="bottom"/>
            <w:hideMark/>
          </w:tcPr>
          <w:p w:rsidR="00D651EA" w:rsidRPr="00AD3560" w:rsidRDefault="00D651EA" w:rsidP="0013536B">
            <w:pPr>
              <w:spacing w:after="0" w:line="240" w:lineRule="auto"/>
              <w:rPr>
                <w:rFonts w:eastAsia="Times New Roman"/>
                <w:color w:val="000000"/>
                <w:lang w:eastAsia="es-CL"/>
              </w:rPr>
            </w:pPr>
            <w:r w:rsidRPr="00AD3560">
              <w:rPr>
                <w:rFonts w:eastAsia="Times New Roman"/>
                <w:color w:val="000000"/>
                <w:lang w:eastAsia="es-CL"/>
              </w:rPr>
              <w:t>Illapu</w:t>
            </w:r>
          </w:p>
        </w:tc>
        <w:tc>
          <w:tcPr>
            <w:tcW w:w="473" w:type="dxa"/>
            <w:tcBorders>
              <w:top w:val="single" w:sz="4" w:space="0" w:color="auto"/>
              <w:left w:val="nil"/>
              <w:bottom w:val="single" w:sz="4" w:space="0" w:color="auto"/>
              <w:right w:val="single" w:sz="4" w:space="0" w:color="auto"/>
            </w:tcBorders>
            <w:vAlign w:val="bottom"/>
          </w:tcPr>
          <w:p w:rsidR="00D651EA" w:rsidRPr="00AD3560" w:rsidRDefault="00D651EA" w:rsidP="0013536B">
            <w:pPr>
              <w:spacing w:after="0" w:line="240" w:lineRule="auto"/>
              <w:jc w:val="right"/>
              <w:rPr>
                <w:rFonts w:eastAsia="Times New Roman"/>
                <w:color w:val="000000"/>
                <w:lang w:eastAsia="es-CL"/>
              </w:rPr>
            </w:pPr>
            <w:r w:rsidRPr="00AD3560">
              <w:rPr>
                <w:rFonts w:eastAsia="Times New Roman"/>
                <w:color w:val="000000"/>
                <w:lang w:eastAsia="es-CL"/>
              </w:rPr>
              <w:t>10</w:t>
            </w:r>
          </w:p>
        </w:tc>
        <w:tc>
          <w:tcPr>
            <w:tcW w:w="2787" w:type="dxa"/>
            <w:tcBorders>
              <w:top w:val="nil"/>
              <w:left w:val="single" w:sz="4" w:space="0" w:color="auto"/>
              <w:bottom w:val="single" w:sz="4" w:space="0" w:color="auto"/>
              <w:right w:val="single" w:sz="4" w:space="0" w:color="auto"/>
            </w:tcBorders>
            <w:vAlign w:val="bottom"/>
          </w:tcPr>
          <w:p w:rsidR="00D651EA" w:rsidRPr="00AD3560" w:rsidRDefault="00D651EA" w:rsidP="0013536B">
            <w:pPr>
              <w:spacing w:after="0" w:line="240" w:lineRule="auto"/>
              <w:rPr>
                <w:rFonts w:eastAsia="Times New Roman"/>
                <w:color w:val="000000"/>
                <w:lang w:eastAsia="es-CL"/>
              </w:rPr>
            </w:pPr>
            <w:r w:rsidRPr="00AD3560">
              <w:rPr>
                <w:rFonts w:eastAsia="Times New Roman"/>
                <w:color w:val="000000"/>
                <w:lang w:eastAsia="es-CL"/>
              </w:rPr>
              <w:t>Américo</w:t>
            </w:r>
          </w:p>
        </w:tc>
      </w:tr>
      <w:tr w:rsidR="00D651EA" w:rsidRPr="00AD3560" w:rsidTr="0013536B">
        <w:trPr>
          <w:trHeight w:val="300"/>
          <w:jc w:val="center"/>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rsidR="00D651EA" w:rsidRPr="00AD3560" w:rsidRDefault="00D651EA" w:rsidP="0013536B">
            <w:pPr>
              <w:spacing w:after="0" w:line="240" w:lineRule="auto"/>
              <w:jc w:val="right"/>
              <w:rPr>
                <w:rFonts w:eastAsia="Times New Roman"/>
                <w:color w:val="000000"/>
                <w:lang w:eastAsia="es-CL"/>
              </w:rPr>
            </w:pPr>
          </w:p>
        </w:tc>
        <w:tc>
          <w:tcPr>
            <w:tcW w:w="3040" w:type="dxa"/>
            <w:tcBorders>
              <w:top w:val="nil"/>
              <w:left w:val="nil"/>
              <w:bottom w:val="single" w:sz="4" w:space="0" w:color="auto"/>
              <w:right w:val="single" w:sz="4" w:space="0" w:color="auto"/>
            </w:tcBorders>
            <w:shd w:val="clear" w:color="auto" w:fill="auto"/>
            <w:noWrap/>
            <w:vAlign w:val="bottom"/>
            <w:hideMark/>
          </w:tcPr>
          <w:p w:rsidR="00D651EA" w:rsidRPr="00AD3560" w:rsidRDefault="00D651EA" w:rsidP="0013536B">
            <w:pPr>
              <w:spacing w:after="0" w:line="240" w:lineRule="auto"/>
              <w:rPr>
                <w:rFonts w:eastAsia="Times New Roman"/>
                <w:color w:val="000000"/>
                <w:lang w:eastAsia="es-CL"/>
              </w:rPr>
            </w:pPr>
          </w:p>
        </w:tc>
        <w:tc>
          <w:tcPr>
            <w:tcW w:w="473" w:type="dxa"/>
            <w:tcBorders>
              <w:top w:val="single" w:sz="4" w:space="0" w:color="auto"/>
              <w:left w:val="nil"/>
              <w:bottom w:val="single" w:sz="4" w:space="0" w:color="auto"/>
              <w:right w:val="single" w:sz="4" w:space="0" w:color="auto"/>
            </w:tcBorders>
            <w:vAlign w:val="bottom"/>
          </w:tcPr>
          <w:p w:rsidR="00D651EA" w:rsidRPr="00AD3560" w:rsidRDefault="00D651EA" w:rsidP="0013536B">
            <w:pPr>
              <w:spacing w:after="0" w:line="240" w:lineRule="auto"/>
              <w:jc w:val="right"/>
              <w:rPr>
                <w:rFonts w:eastAsia="Times New Roman"/>
                <w:color w:val="000000"/>
                <w:lang w:eastAsia="es-CL"/>
              </w:rPr>
            </w:pPr>
            <w:r w:rsidRPr="00AD3560">
              <w:rPr>
                <w:rFonts w:eastAsia="Times New Roman"/>
                <w:color w:val="000000"/>
                <w:lang w:eastAsia="es-CL"/>
              </w:rPr>
              <w:t>11</w:t>
            </w:r>
          </w:p>
        </w:tc>
        <w:tc>
          <w:tcPr>
            <w:tcW w:w="2787" w:type="dxa"/>
            <w:tcBorders>
              <w:top w:val="nil"/>
              <w:left w:val="single" w:sz="4" w:space="0" w:color="auto"/>
              <w:bottom w:val="single" w:sz="4" w:space="0" w:color="auto"/>
              <w:right w:val="single" w:sz="4" w:space="0" w:color="auto"/>
            </w:tcBorders>
            <w:vAlign w:val="bottom"/>
          </w:tcPr>
          <w:p w:rsidR="00D651EA" w:rsidRPr="00AD3560" w:rsidRDefault="00D651EA" w:rsidP="0013536B">
            <w:pPr>
              <w:spacing w:after="0" w:line="240" w:lineRule="auto"/>
              <w:rPr>
                <w:rFonts w:eastAsia="Times New Roman"/>
                <w:color w:val="000000"/>
                <w:lang w:eastAsia="es-CL"/>
              </w:rPr>
            </w:pPr>
            <w:r w:rsidRPr="00AD3560">
              <w:rPr>
                <w:rFonts w:eastAsia="Times New Roman"/>
                <w:color w:val="000000"/>
                <w:lang w:eastAsia="es-CL"/>
              </w:rPr>
              <w:t>La Noche</w:t>
            </w:r>
          </w:p>
        </w:tc>
      </w:tr>
    </w:tbl>
    <w:p w:rsidR="00D651EA" w:rsidRDefault="00D651EA" w:rsidP="00D651EA"/>
    <w:p w:rsidR="00D651EA" w:rsidRDefault="00D651EA" w:rsidP="00D651EA">
      <w:r>
        <w:t>Queremos saber si es posible distinguir “públicos objetivos” dentro de este panorama, razón por la cual se realizó un análisis de componentes principales.</w:t>
      </w:r>
    </w:p>
    <w:p w:rsidR="00D651EA" w:rsidRDefault="00D651EA" w:rsidP="00D651EA">
      <w:pPr>
        <w:pStyle w:val="ListParagraph"/>
        <w:numPr>
          <w:ilvl w:val="0"/>
          <w:numId w:val="1"/>
        </w:numPr>
        <w:rPr>
          <w:b/>
        </w:rPr>
      </w:pPr>
      <w:r>
        <w:rPr>
          <w:b/>
        </w:rPr>
        <w:t>Refiérase</w:t>
      </w:r>
      <w:r w:rsidRPr="0093638D">
        <w:rPr>
          <w:b/>
        </w:rPr>
        <w:t xml:space="preserve"> a la comunalidad de cada artista. ¿Cuáles presentan una alta comunalidad? ¿Cuáles una baja?</w:t>
      </w:r>
    </w:p>
    <w:p w:rsidR="00D651EA" w:rsidRDefault="00D651EA" w:rsidP="00D651EA">
      <w:pPr>
        <w:ind w:left="360"/>
      </w:pPr>
      <w:r>
        <w:t>Lo primero que debemos hacer es especificar un modelo de PCA, para ello utilizamos la siguiente línea de comando</w:t>
      </w:r>
    </w:p>
    <w:p w:rsidR="00D651EA" w:rsidRDefault="00D651EA" w:rsidP="00D651EA">
      <w:pPr>
        <w:ind w:left="360"/>
      </w:pPr>
      <w:r w:rsidRPr="00A725C0">
        <w:t>pca inti jaivas huas_quin pollo illapu glo_simo vic_jara los_pris mir_herna americo la_noche</w:t>
      </w:r>
    </w:p>
    <w:p w:rsidR="00D651EA" w:rsidRDefault="00D651EA" w:rsidP="00D651EA">
      <w:pPr>
        <w:ind w:left="360"/>
      </w:pPr>
      <w:r>
        <w:t>Luego, solicitamos el estadístico de comunalidades, la que mediante correlaciones cuadráticas múltiples nos permite saber la fracción de la varianza de cada ítem que es compartida con el resto , mediante el siguiente comando</w:t>
      </w:r>
    </w:p>
    <w:p w:rsidR="00D651EA" w:rsidRDefault="00D651EA" w:rsidP="00D651EA">
      <w:pPr>
        <w:ind w:left="360"/>
      </w:pPr>
      <w:r>
        <w:t>estat smc</w:t>
      </w:r>
    </w:p>
    <w:p w:rsidR="00D651EA" w:rsidRDefault="00D651EA" w:rsidP="00D651EA">
      <w:pPr>
        <w:ind w:left="360"/>
      </w:pPr>
    </w:p>
    <w:p w:rsidR="00D651EA" w:rsidRDefault="00D651EA" w:rsidP="00D651EA">
      <w:pPr>
        <w:ind w:left="360"/>
      </w:pPr>
    </w:p>
    <w:p w:rsidR="00D651EA" w:rsidRDefault="00D651EA" w:rsidP="00D651EA">
      <w:pPr>
        <w:ind w:left="360"/>
      </w:pPr>
    </w:p>
    <w:p w:rsidR="00D651EA" w:rsidRDefault="00D651EA" w:rsidP="00D651EA">
      <w:pPr>
        <w:ind w:left="360"/>
      </w:pPr>
      <w:r>
        <w:lastRenderedPageBreak/>
        <w:t>A continuación se presenta la tabla de comunalidades</w:t>
      </w:r>
    </w:p>
    <w:p w:rsidR="00D651EA" w:rsidRDefault="00D651EA" w:rsidP="00D651EA">
      <w:pPr>
        <w:ind w:left="360"/>
      </w:pPr>
      <w:r>
        <w:rPr>
          <w:noProof/>
          <w:lang w:eastAsia="es-CL"/>
        </w:rPr>
        <w:drawing>
          <wp:inline distT="0" distB="0" distL="0" distR="0">
            <wp:extent cx="1877438" cy="17413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r="73377"/>
                    <a:stretch>
                      <a:fillRect/>
                    </a:stretch>
                  </pic:blipFill>
                  <pic:spPr bwMode="auto">
                    <a:xfrm>
                      <a:off x="0" y="0"/>
                      <a:ext cx="1877627" cy="1741571"/>
                    </a:xfrm>
                    <a:prstGeom prst="rect">
                      <a:avLst/>
                    </a:prstGeom>
                    <a:noFill/>
                    <a:ln w="9525">
                      <a:noFill/>
                      <a:miter lim="800000"/>
                      <a:headEnd/>
                      <a:tailEnd/>
                    </a:ln>
                  </pic:spPr>
                </pic:pic>
              </a:graphicData>
            </a:graphic>
          </wp:inline>
        </w:drawing>
      </w:r>
    </w:p>
    <w:p w:rsidR="00D651EA" w:rsidRDefault="00D651EA" w:rsidP="00D651EA">
      <w:pPr>
        <w:ind w:left="360"/>
      </w:pPr>
      <w:r>
        <w:t>Podemos desprender que las bandas/artistas con una alta comunalidad son Inti Illimani, Illapu, Víctor Jara, Américo y la Noche. Luego viene un grupo de ítems que presenta una comunalidad algo más baja, tales como Miriam Hernández, el Pollo Fuentes y Gloria Simonetti. Por último, tanto los Huasos Quincheros, como Los Prisioneros, presentan niveles bajos de comunalidad.</w:t>
      </w:r>
    </w:p>
    <w:p w:rsidR="00D651EA" w:rsidRDefault="00D651EA" w:rsidP="00D651EA">
      <w:pPr>
        <w:ind w:left="360"/>
      </w:pPr>
      <w:r>
        <w:t>Lo que esto implica, es que las preferencias por las bandas y artistas están más cruzadas en este primer grupo descrito, mientras que los Huasos Quincheros y Los Prisioneros darían cuenta de preferencias que son más exhaustivas.</w:t>
      </w:r>
    </w:p>
    <w:p w:rsidR="00D651EA" w:rsidRDefault="00D651EA" w:rsidP="00D651EA">
      <w:pPr>
        <w:pStyle w:val="ListParagraph"/>
        <w:numPr>
          <w:ilvl w:val="0"/>
          <w:numId w:val="1"/>
        </w:numPr>
        <w:rPr>
          <w:b/>
        </w:rPr>
      </w:pPr>
      <w:r>
        <w:rPr>
          <w:b/>
        </w:rPr>
        <w:t>¿Cuántos son los factores óptimos a considerar?</w:t>
      </w:r>
    </w:p>
    <w:p w:rsidR="00D651EA" w:rsidRDefault="00D651EA" w:rsidP="00D651EA">
      <w:pPr>
        <w:ind w:left="360"/>
      </w:pPr>
      <w:r>
        <w:t>El criterio de Kaiser, nos indica que la cantidad óptima de componentes debe fijarse en aquellos que arrojan autovalores mayores a 1. Para esto, veamos primero el Screeplot, el cual generamos mediante el siguiente comando</w:t>
      </w:r>
    </w:p>
    <w:p w:rsidR="00D651EA" w:rsidRDefault="00D651EA" w:rsidP="00D651EA">
      <w:pPr>
        <w:ind w:left="360"/>
      </w:pPr>
      <w:r>
        <w:t>screeplot</w:t>
      </w:r>
    </w:p>
    <w:p w:rsidR="00D651EA" w:rsidRDefault="00D651EA" w:rsidP="00D651EA">
      <w:pPr>
        <w:ind w:left="360"/>
      </w:pPr>
      <w:r>
        <w:rPr>
          <w:noProof/>
          <w:lang w:eastAsia="es-CL"/>
        </w:rPr>
        <w:drawing>
          <wp:inline distT="0" distB="0" distL="0" distR="0">
            <wp:extent cx="3968846" cy="291100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3968960" cy="2911092"/>
                    </a:xfrm>
                    <a:prstGeom prst="rect">
                      <a:avLst/>
                    </a:prstGeom>
                    <a:noFill/>
                    <a:ln w="9525">
                      <a:noFill/>
                      <a:miter lim="800000"/>
                      <a:headEnd/>
                      <a:tailEnd/>
                    </a:ln>
                  </pic:spPr>
                </pic:pic>
              </a:graphicData>
            </a:graphic>
          </wp:inline>
        </w:drawing>
      </w:r>
    </w:p>
    <w:p w:rsidR="00D651EA" w:rsidRDefault="00D651EA" w:rsidP="00D651EA">
      <w:pPr>
        <w:ind w:left="360"/>
      </w:pPr>
      <w:r>
        <w:lastRenderedPageBreak/>
        <w:t>Vemos que el codo es relativamente pronunciado desde la tercera componente, lo que se condice con que es la última en presentar un autovalor mayor a 1 (eje vertical)</w:t>
      </w:r>
    </w:p>
    <w:p w:rsidR="00D651EA" w:rsidRDefault="00D651EA" w:rsidP="00D651EA">
      <w:pPr>
        <w:ind w:left="360"/>
      </w:pPr>
      <w:r>
        <w:t>Podemos analizar esto en detalle, al observar la Tabla de Componentes arrojada por el modelo</w:t>
      </w:r>
    </w:p>
    <w:p w:rsidR="00D651EA" w:rsidRDefault="00D651EA" w:rsidP="00D651EA">
      <w:pPr>
        <w:ind w:left="360"/>
      </w:pPr>
      <w:r>
        <w:rPr>
          <w:noProof/>
          <w:lang w:eastAsia="es-CL"/>
        </w:rPr>
        <w:drawing>
          <wp:inline distT="0" distB="0" distL="0" distR="0">
            <wp:extent cx="4855731" cy="16537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r="27493"/>
                    <a:stretch>
                      <a:fillRect/>
                    </a:stretch>
                  </pic:blipFill>
                  <pic:spPr bwMode="auto">
                    <a:xfrm>
                      <a:off x="0" y="0"/>
                      <a:ext cx="4855911" cy="1653763"/>
                    </a:xfrm>
                    <a:prstGeom prst="rect">
                      <a:avLst/>
                    </a:prstGeom>
                    <a:noFill/>
                    <a:ln w="9525">
                      <a:noFill/>
                      <a:miter lim="800000"/>
                      <a:headEnd/>
                      <a:tailEnd/>
                    </a:ln>
                  </pic:spPr>
                </pic:pic>
              </a:graphicData>
            </a:graphic>
          </wp:inline>
        </w:drawing>
      </w:r>
    </w:p>
    <w:p w:rsidR="00D651EA" w:rsidRDefault="00D651EA" w:rsidP="00D651EA">
      <w:pPr>
        <w:ind w:left="360"/>
        <w:jc w:val="both"/>
      </w:pPr>
      <w:r>
        <w:t>Vemos que hay tres componentes que cumplen esta restricción. Esto puede confirmarse cuando observamos la proporción de la varianza total explicada por cada componente, asimismo como la proporción acumulada inter componentes. En el primer indicador, observamos que más cerca del 43% de la varianza total reside en un sólo componente (el primero), mientras que el segundo y tercer componente explican un 20,21% y un 11% respectivamente. Esto nos da una proporción acumulada de 0,7414, vale decir, entre estos tres componentes podemos explicar aproximadamente tres cuartos del total de la varianza. La inclusión de factores adicionales es marginal respecto de esto último.</w:t>
      </w:r>
    </w:p>
    <w:p w:rsidR="00D651EA" w:rsidRPr="0012600A" w:rsidRDefault="00D651EA" w:rsidP="00D651EA">
      <w:pPr>
        <w:ind w:left="360"/>
        <w:jc w:val="both"/>
      </w:pPr>
      <w:r>
        <w:t>De aquí que la cantidad óptima de componentes es de tres.</w:t>
      </w:r>
    </w:p>
    <w:p w:rsidR="00D651EA" w:rsidRDefault="00D651EA" w:rsidP="00D651EA">
      <w:pPr>
        <w:pStyle w:val="ListParagraph"/>
      </w:pPr>
    </w:p>
    <w:p w:rsidR="00D651EA" w:rsidRDefault="00D651EA" w:rsidP="00D651EA">
      <w:pPr>
        <w:pStyle w:val="ListParagraph"/>
        <w:numPr>
          <w:ilvl w:val="0"/>
          <w:numId w:val="1"/>
        </w:numPr>
        <w:rPr>
          <w:b/>
        </w:rPr>
      </w:pPr>
      <w:r w:rsidRPr="0093638D">
        <w:rPr>
          <w:b/>
        </w:rPr>
        <w:t>¿Cuál de las dos soluciones es más satisfactoria para efectos de</w:t>
      </w:r>
      <w:r>
        <w:rPr>
          <w:b/>
        </w:rPr>
        <w:t xml:space="preserve"> un ACP</w:t>
      </w:r>
      <w:r w:rsidRPr="0093638D">
        <w:rPr>
          <w:b/>
        </w:rPr>
        <w:t>? ¿Por qué?</w:t>
      </w:r>
    </w:p>
    <w:p w:rsidR="00D651EA" w:rsidRDefault="00D651EA" w:rsidP="00D651EA">
      <w:pPr>
        <w:ind w:left="360"/>
      </w:pPr>
      <w:r>
        <w:t>Primero, volvemos a cargar el modelo, pero reteniendo el número óptimo de factores que encontramos en la parte anterior. Para esto, la línea de comandos es</w:t>
      </w:r>
    </w:p>
    <w:p w:rsidR="00D651EA" w:rsidRDefault="00D651EA" w:rsidP="00D651EA">
      <w:pPr>
        <w:ind w:left="360"/>
      </w:pPr>
      <w:r w:rsidRPr="00A725C0">
        <w:t>pca inti jaivas huas_quin pollo illapu glo_simo vic_jara los_pris mir_herna americo la_noche</w:t>
      </w:r>
      <w:r>
        <w:t>, comp(3)</w:t>
      </w:r>
    </w:p>
    <w:p w:rsidR="00D651EA" w:rsidRDefault="00D651EA" w:rsidP="00D651EA">
      <w:pPr>
        <w:ind w:left="360"/>
      </w:pPr>
      <w:r>
        <w:t>y luego rotamos la solución mediante el siguiente comando</w:t>
      </w:r>
    </w:p>
    <w:p w:rsidR="00D651EA" w:rsidRDefault="00D651EA" w:rsidP="00D651EA">
      <w:pPr>
        <w:ind w:left="360"/>
      </w:pPr>
      <w:r>
        <w:t>rotate</w:t>
      </w:r>
    </w:p>
    <w:p w:rsidR="00D651EA" w:rsidRPr="0012600A" w:rsidRDefault="00D651EA" w:rsidP="00D651EA">
      <w:pPr>
        <w:ind w:left="360"/>
        <w:jc w:val="both"/>
      </w:pPr>
      <w:r>
        <w:t>Un primer criterio para comparar ambas soluciones, es observar la distribución de la fracción de la varianza explicada por cada factor. En la solución no rotada, esta se encontraba fuertemente concentrada en el primer factor (0,43 aprox), en cambio, si observamos en la tabla de la solución no rotada, veremos que esta fracción se reasigna entre los componentes, generando una solución más balanceada</w:t>
      </w:r>
    </w:p>
    <w:p w:rsidR="00D651EA" w:rsidRDefault="00D651EA" w:rsidP="00D651EA">
      <w:pPr>
        <w:pStyle w:val="ListParagraph"/>
      </w:pPr>
      <w:r>
        <w:rPr>
          <w:noProof/>
          <w:lang w:eastAsia="es-CL"/>
        </w:rPr>
        <w:lastRenderedPageBreak/>
        <w:drawing>
          <wp:inline distT="0" distB="0" distL="0" distR="0">
            <wp:extent cx="5010236" cy="96303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r="28021"/>
                    <a:stretch>
                      <a:fillRect/>
                    </a:stretch>
                  </pic:blipFill>
                  <pic:spPr bwMode="auto">
                    <a:xfrm>
                      <a:off x="0" y="0"/>
                      <a:ext cx="5010236" cy="963038"/>
                    </a:xfrm>
                    <a:prstGeom prst="rect">
                      <a:avLst/>
                    </a:prstGeom>
                    <a:noFill/>
                    <a:ln w="9525">
                      <a:noFill/>
                      <a:miter lim="800000"/>
                      <a:headEnd/>
                      <a:tailEnd/>
                    </a:ln>
                  </pic:spPr>
                </pic:pic>
              </a:graphicData>
            </a:graphic>
          </wp:inline>
        </w:drawing>
      </w:r>
    </w:p>
    <w:p w:rsidR="00D651EA" w:rsidRDefault="00D651EA" w:rsidP="00D651EA">
      <w:pPr>
        <w:pStyle w:val="ListParagraph"/>
      </w:pPr>
      <w:r>
        <w:t>Ahora vemos que el primer factor explica un 0,3157, el segundo un 0,2367 y el tercero un 0,1894. Lo cual, a primera vista nos permitiría suponer que la solución rotada genera mejores resultados.</w:t>
      </w:r>
    </w:p>
    <w:p w:rsidR="00D651EA" w:rsidRDefault="00D651EA" w:rsidP="00D651EA">
      <w:pPr>
        <w:pStyle w:val="ListParagraph"/>
      </w:pPr>
    </w:p>
    <w:p w:rsidR="00D651EA" w:rsidRDefault="00D651EA" w:rsidP="00D651EA">
      <w:pPr>
        <w:pStyle w:val="ListParagraph"/>
      </w:pPr>
      <w:r>
        <w:t>Para confirmar esto, observemos las tablas de cargas factoriales para ambas soluciones</w:t>
      </w:r>
    </w:p>
    <w:p w:rsidR="00D651EA" w:rsidRDefault="00D651EA" w:rsidP="00D651EA">
      <w:pPr>
        <w:pStyle w:val="ListParagraph"/>
      </w:pPr>
    </w:p>
    <w:p w:rsidR="00D651EA" w:rsidRDefault="00D651EA" w:rsidP="00D651EA">
      <w:pPr>
        <w:pStyle w:val="ListParagraph"/>
      </w:pPr>
      <w:r>
        <w:t>Solución no rotada</w:t>
      </w:r>
    </w:p>
    <w:p w:rsidR="00D651EA" w:rsidRDefault="00D651EA" w:rsidP="00D651EA">
      <w:pPr>
        <w:pStyle w:val="ListParagraph"/>
      </w:pPr>
      <w:r>
        <w:rPr>
          <w:noProof/>
          <w:lang w:eastAsia="es-CL"/>
        </w:rPr>
        <w:drawing>
          <wp:inline distT="0" distB="0" distL="0" distR="0">
            <wp:extent cx="3832698" cy="16425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r="42379"/>
                    <a:stretch>
                      <a:fillRect/>
                    </a:stretch>
                  </pic:blipFill>
                  <pic:spPr bwMode="auto">
                    <a:xfrm>
                      <a:off x="0" y="0"/>
                      <a:ext cx="3832876" cy="1642584"/>
                    </a:xfrm>
                    <a:prstGeom prst="rect">
                      <a:avLst/>
                    </a:prstGeom>
                    <a:noFill/>
                    <a:ln w="9525">
                      <a:noFill/>
                      <a:miter lim="800000"/>
                      <a:headEnd/>
                      <a:tailEnd/>
                    </a:ln>
                  </pic:spPr>
                </pic:pic>
              </a:graphicData>
            </a:graphic>
          </wp:inline>
        </w:drawing>
      </w:r>
    </w:p>
    <w:p w:rsidR="00D651EA" w:rsidRDefault="00D651EA" w:rsidP="00D651EA">
      <w:pPr>
        <w:pStyle w:val="ListParagraph"/>
      </w:pPr>
    </w:p>
    <w:p w:rsidR="00D651EA" w:rsidRDefault="00D651EA" w:rsidP="00D651EA">
      <w:pPr>
        <w:pStyle w:val="ListParagraph"/>
      </w:pPr>
      <w:r>
        <w:t>Solución rotada</w:t>
      </w:r>
    </w:p>
    <w:p w:rsidR="00D651EA" w:rsidRDefault="00D651EA" w:rsidP="00D651EA">
      <w:pPr>
        <w:pStyle w:val="ListParagraph"/>
      </w:pPr>
      <w:r>
        <w:rPr>
          <w:noProof/>
          <w:lang w:eastAsia="es-CL"/>
        </w:rPr>
        <w:drawing>
          <wp:inline distT="0" distB="0" distL="0" distR="0">
            <wp:extent cx="3988341" cy="163424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t="13846" r="41853"/>
                    <a:stretch>
                      <a:fillRect/>
                    </a:stretch>
                  </pic:blipFill>
                  <pic:spPr bwMode="auto">
                    <a:xfrm>
                      <a:off x="0" y="0"/>
                      <a:ext cx="3988341" cy="1634247"/>
                    </a:xfrm>
                    <a:prstGeom prst="rect">
                      <a:avLst/>
                    </a:prstGeom>
                    <a:noFill/>
                    <a:ln w="9525">
                      <a:noFill/>
                      <a:miter lim="800000"/>
                      <a:headEnd/>
                      <a:tailEnd/>
                    </a:ln>
                  </pic:spPr>
                </pic:pic>
              </a:graphicData>
            </a:graphic>
          </wp:inline>
        </w:drawing>
      </w:r>
    </w:p>
    <w:p w:rsidR="00D651EA" w:rsidRDefault="00D651EA" w:rsidP="00D651EA">
      <w:pPr>
        <w:pStyle w:val="ListParagraph"/>
      </w:pPr>
      <w:r>
        <w:t xml:space="preserve">La solución no rotada nos arroja componentes que están débilmente correlacionados con los ítems, lo cual no nos permite supone nada sobre la estructura interna de cada uno de los componentes. </w:t>
      </w:r>
    </w:p>
    <w:p w:rsidR="00D651EA" w:rsidRDefault="00D651EA" w:rsidP="00D651EA">
      <w:pPr>
        <w:pStyle w:val="ListParagraph"/>
      </w:pPr>
    </w:p>
    <w:p w:rsidR="00D651EA" w:rsidRDefault="00D651EA" w:rsidP="00D651EA">
      <w:pPr>
        <w:pStyle w:val="ListParagraph"/>
        <w:jc w:val="both"/>
      </w:pPr>
      <w:r>
        <w:t>En cambio, la solución rotada es mucho más clara sobre esto, ya que podemos apreciar un componente (el primero)  que está altamente correlacionado con artistas tales como Inti Illimani, Illapu, Los Jaivas y Victor Jara. Almismo tiempo esta componente está correlacionada negativamente con artistas tales como los Huasos Quincheros, Miriam Hernández, El Pollo Fuentes, Américo y la Noche. Esto hace mayor sentido a primera vista, dado que uno podría suponer que las preferencias por este tipo de artistas son mutuamente exlcuyentes.</w:t>
      </w:r>
    </w:p>
    <w:p w:rsidR="00D651EA" w:rsidRDefault="00D651EA" w:rsidP="00D651EA">
      <w:pPr>
        <w:pStyle w:val="ListParagraph"/>
        <w:jc w:val="both"/>
      </w:pPr>
      <w:r>
        <w:lastRenderedPageBreak/>
        <w:t>De manera similar sucede con el tercer y cuarto componente, es decir, muestran de manera más evidente su estructura interna al analizar las correlaciones respecto de los ítems. El segundo componente se encuentra fuertemente correlacionado con artistas tales como el Pollo Fuentes, los Huasos Quincheros y Gloria Simonetti.</w:t>
      </w:r>
    </w:p>
    <w:p w:rsidR="00D651EA" w:rsidRDefault="00D651EA" w:rsidP="00D651EA">
      <w:pPr>
        <w:pStyle w:val="ListParagraph"/>
        <w:jc w:val="both"/>
      </w:pPr>
    </w:p>
    <w:p w:rsidR="00D651EA" w:rsidRDefault="00D651EA" w:rsidP="00D651EA">
      <w:pPr>
        <w:pStyle w:val="ListParagraph"/>
        <w:jc w:val="both"/>
      </w:pPr>
      <w:r>
        <w:t>Por su parte, el tercer componente está altamente correlacionado con artistas como La Noche y Américo, y esta negativamente correlacionado con prácticamente la totalidad del resto de los artistas.</w:t>
      </w:r>
    </w:p>
    <w:p w:rsidR="00D651EA" w:rsidRDefault="00D651EA" w:rsidP="00D651EA">
      <w:pPr>
        <w:pStyle w:val="ListParagraph"/>
      </w:pPr>
    </w:p>
    <w:p w:rsidR="00D651EA" w:rsidRDefault="00D651EA" w:rsidP="00D651EA">
      <w:pPr>
        <w:pStyle w:val="ListParagraph"/>
      </w:pPr>
    </w:p>
    <w:p w:rsidR="00D651EA" w:rsidRPr="0093638D" w:rsidRDefault="00D651EA" w:rsidP="00D651EA">
      <w:pPr>
        <w:pStyle w:val="ListParagraph"/>
        <w:numPr>
          <w:ilvl w:val="0"/>
          <w:numId w:val="1"/>
        </w:numPr>
        <w:rPr>
          <w:b/>
        </w:rPr>
      </w:pPr>
      <w:r w:rsidRPr="0093638D">
        <w:rPr>
          <w:b/>
        </w:rPr>
        <w:t>De su respuesta anterior, de una interpretación intuitiva que le permita asignar un nombre a cada factor en función de los atributos que la componen. Explique la coherencia de su estrategia de nominación.</w:t>
      </w:r>
    </w:p>
    <w:p w:rsidR="00D651EA" w:rsidRDefault="00D651EA" w:rsidP="00D651EA">
      <w:pPr>
        <w:pStyle w:val="ListParagraph"/>
        <w:ind w:left="0"/>
      </w:pPr>
    </w:p>
    <w:p w:rsidR="00D651EA" w:rsidRDefault="00D651EA" w:rsidP="00D651EA">
      <w:pPr>
        <w:pStyle w:val="ListParagraph"/>
        <w:ind w:left="360"/>
      </w:pPr>
      <w:r>
        <w:t>De aquí que podemos construir públicos objetivos en función de la estructura de cada componente.</w:t>
      </w:r>
    </w:p>
    <w:p w:rsidR="00D651EA" w:rsidRDefault="00D651EA" w:rsidP="00D651EA">
      <w:pPr>
        <w:pStyle w:val="ListParagraph"/>
        <w:ind w:left="360"/>
      </w:pPr>
    </w:p>
    <w:p w:rsidR="00D651EA" w:rsidRDefault="00D651EA" w:rsidP="00D651EA">
      <w:pPr>
        <w:pStyle w:val="ListParagraph"/>
        <w:ind w:left="360"/>
      </w:pPr>
      <w:r>
        <w:t>Componente 1: artistas de orientación musical folclórica con ideología explícita, en este caso, de izquierda o progresista. Podría atribuirse un sesgo generacional, pero el hecho de que Los Prisioneros estén más correlacionados con este componente, permiten ponerlo en duda.</w:t>
      </w:r>
    </w:p>
    <w:p w:rsidR="00D651EA" w:rsidRDefault="00D651EA" w:rsidP="00D651EA">
      <w:pPr>
        <w:pStyle w:val="ListParagraph"/>
        <w:ind w:left="360"/>
      </w:pPr>
    </w:p>
    <w:p w:rsidR="00D651EA" w:rsidRDefault="00D651EA" w:rsidP="00D651EA">
      <w:pPr>
        <w:pStyle w:val="ListParagraph"/>
        <w:ind w:left="360"/>
      </w:pPr>
      <w:r>
        <w:t>Componente 2: artistas sin una orientación musical tan definida, pero con una orientación ideológica explícita de orden más conservador, y atribuible a personas mayores por el sesgo generacional de estos artistas.</w:t>
      </w:r>
    </w:p>
    <w:p w:rsidR="00D651EA" w:rsidRDefault="00D651EA" w:rsidP="00D651EA">
      <w:pPr>
        <w:pStyle w:val="ListParagraph"/>
        <w:ind w:left="360"/>
      </w:pPr>
    </w:p>
    <w:p w:rsidR="00D651EA" w:rsidRDefault="00D651EA" w:rsidP="00D651EA">
      <w:pPr>
        <w:pStyle w:val="ListParagraph"/>
        <w:ind w:left="360"/>
      </w:pPr>
      <w:r>
        <w:t>Componente 3: artistas bailables, sin una orientación ideológica explícita, y de público joven</w:t>
      </w:r>
    </w:p>
    <w:p w:rsidR="00D651EA" w:rsidRDefault="00D651EA" w:rsidP="00D651EA">
      <w:pPr>
        <w:pStyle w:val="ListParagraph"/>
        <w:ind w:left="0"/>
      </w:pPr>
    </w:p>
    <w:p w:rsidR="00D651EA" w:rsidRDefault="00D651EA" w:rsidP="00D651EA">
      <w:pPr>
        <w:pStyle w:val="ListParagraph"/>
        <w:ind w:left="0"/>
      </w:pPr>
    </w:p>
    <w:p w:rsidR="00D651EA" w:rsidRDefault="00D651EA" w:rsidP="00D651EA">
      <w:pPr>
        <w:pStyle w:val="ListParagraph"/>
        <w:ind w:left="0"/>
      </w:pPr>
    </w:p>
    <w:p w:rsidR="00D651EA" w:rsidRDefault="00D651EA" w:rsidP="00D651EA">
      <w:pPr>
        <w:pStyle w:val="ListParagraph"/>
        <w:ind w:left="0"/>
      </w:pPr>
    </w:p>
    <w:p w:rsidR="00D651EA" w:rsidRDefault="00D651EA" w:rsidP="00D651EA">
      <w:pPr>
        <w:pStyle w:val="ListParagraph"/>
        <w:ind w:left="0"/>
      </w:pPr>
    </w:p>
    <w:p w:rsidR="00D651EA" w:rsidRDefault="00D651EA" w:rsidP="00D651EA">
      <w:pPr>
        <w:pStyle w:val="ListParagraph"/>
        <w:ind w:left="0"/>
      </w:pPr>
    </w:p>
    <w:p w:rsidR="00D651EA" w:rsidRDefault="00D651EA" w:rsidP="00D651EA">
      <w:pPr>
        <w:pStyle w:val="ListParagraph"/>
        <w:ind w:left="0"/>
      </w:pPr>
    </w:p>
    <w:p w:rsidR="00D651EA" w:rsidRDefault="00D651EA" w:rsidP="00D651EA">
      <w:pPr>
        <w:pStyle w:val="ListParagraph"/>
        <w:ind w:left="0"/>
      </w:pPr>
    </w:p>
    <w:p w:rsidR="00D651EA" w:rsidRDefault="00D651EA" w:rsidP="00D651EA">
      <w:pPr>
        <w:pStyle w:val="ListParagraph"/>
        <w:ind w:left="0"/>
      </w:pPr>
    </w:p>
    <w:p w:rsidR="00D651EA" w:rsidRDefault="00D651EA" w:rsidP="00D651EA">
      <w:pPr>
        <w:pStyle w:val="ListParagraph"/>
        <w:ind w:left="0"/>
      </w:pPr>
    </w:p>
    <w:p w:rsidR="00D651EA" w:rsidRDefault="00D651EA" w:rsidP="00D651EA">
      <w:pPr>
        <w:pStyle w:val="ListParagraph"/>
        <w:ind w:left="0"/>
      </w:pPr>
    </w:p>
    <w:p w:rsidR="00D651EA" w:rsidRDefault="00D651EA" w:rsidP="00D651EA">
      <w:pPr>
        <w:pStyle w:val="ListParagraph"/>
        <w:ind w:left="0"/>
      </w:pPr>
    </w:p>
    <w:p w:rsidR="00D651EA" w:rsidRDefault="00D651EA" w:rsidP="00D651EA">
      <w:pPr>
        <w:pStyle w:val="ListParagraph"/>
        <w:ind w:left="0"/>
      </w:pPr>
    </w:p>
    <w:p w:rsidR="00D651EA" w:rsidRDefault="00D651EA" w:rsidP="00D651EA">
      <w:pPr>
        <w:pStyle w:val="ListParagraph"/>
        <w:ind w:left="0"/>
      </w:pPr>
    </w:p>
    <w:p w:rsidR="00D651EA" w:rsidRDefault="00D651EA" w:rsidP="00D651EA">
      <w:pPr>
        <w:pStyle w:val="ListParagraph"/>
        <w:ind w:left="0"/>
      </w:pPr>
    </w:p>
    <w:p w:rsidR="00D651EA" w:rsidRDefault="00D651EA" w:rsidP="00D651EA">
      <w:pPr>
        <w:pStyle w:val="ListParagraph"/>
        <w:ind w:left="0"/>
      </w:pPr>
    </w:p>
    <w:p w:rsidR="00D651EA" w:rsidRPr="0093638D" w:rsidRDefault="00D651EA" w:rsidP="00D651EA">
      <w:pPr>
        <w:pStyle w:val="ListParagraph"/>
        <w:numPr>
          <w:ilvl w:val="0"/>
          <w:numId w:val="1"/>
        </w:numPr>
        <w:rPr>
          <w:b/>
        </w:rPr>
      </w:pPr>
      <w:r w:rsidRPr="0093638D">
        <w:rPr>
          <w:b/>
        </w:rPr>
        <w:lastRenderedPageBreak/>
        <w:t>En función de su respuesta en el problema 2 y analizando el gráfico ¿Considera necesario agregar un</w:t>
      </w:r>
      <w:r>
        <w:rPr>
          <w:b/>
        </w:rPr>
        <w:t xml:space="preserve"> componente</w:t>
      </w:r>
      <w:r w:rsidRPr="0093638D">
        <w:rPr>
          <w:b/>
        </w:rPr>
        <w:t xml:space="preserve"> adicional para obtener una mejor solución? ¿Por qué?</w:t>
      </w:r>
    </w:p>
    <w:p w:rsidR="00D651EA" w:rsidRDefault="00D651EA" w:rsidP="00D651EA">
      <w:pPr>
        <w:pStyle w:val="ListParagraph"/>
      </w:pPr>
    </w:p>
    <w:p w:rsidR="00D651EA" w:rsidRDefault="00D651EA" w:rsidP="00D651EA">
      <w:pPr>
        <w:pStyle w:val="ListParagraph"/>
      </w:pPr>
      <w:r>
        <w:t>Si agregamos un cuarto componente, el resultado  no agregaría mayor fracción de la varianza total explicada, tal y como vimos en la tabla de componentes. Ahora bien, al especificar un nuevo modelo con 4 componentes, la matriz de cargas factoriales da los siguientes resultados</w:t>
      </w:r>
    </w:p>
    <w:p w:rsidR="00D651EA" w:rsidRDefault="00D651EA" w:rsidP="00D651EA">
      <w:pPr>
        <w:jc w:val="center"/>
      </w:pPr>
      <w:r>
        <w:rPr>
          <w:noProof/>
          <w:lang w:eastAsia="es-CL"/>
        </w:rPr>
        <w:drawing>
          <wp:inline distT="0" distB="0" distL="0" distR="0">
            <wp:extent cx="4511748" cy="16828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r="33798"/>
                    <a:stretch>
                      <a:fillRect/>
                    </a:stretch>
                  </pic:blipFill>
                  <pic:spPr bwMode="auto">
                    <a:xfrm>
                      <a:off x="0" y="0"/>
                      <a:ext cx="4511932" cy="1682954"/>
                    </a:xfrm>
                    <a:prstGeom prst="rect">
                      <a:avLst/>
                    </a:prstGeom>
                    <a:noFill/>
                    <a:ln w="9525">
                      <a:noFill/>
                      <a:miter lim="800000"/>
                      <a:headEnd/>
                      <a:tailEnd/>
                    </a:ln>
                  </pic:spPr>
                </pic:pic>
              </a:graphicData>
            </a:graphic>
          </wp:inline>
        </w:drawing>
      </w:r>
    </w:p>
    <w:p w:rsidR="00D651EA" w:rsidRDefault="00D651EA" w:rsidP="00D651EA">
      <w:pPr>
        <w:pStyle w:val="ListParagraph"/>
        <w:jc w:val="both"/>
      </w:pPr>
      <w:r>
        <w:t>Lo relevante de este modelo, es que se despeja el problema con Los Prisioneros, dado que fue un ítem de baja comunalidad, el que además no arrojo una  correlación muy alta con el que es su componente de referencia (el primero). Ahora, aquí aparece como un ítem capaz de explicar completamente a la estructura del componente cuatro, lo que nos quiere decir que la banda posee un público altamente exhaustivo. También, con estos resultados puede recomendarse repetir el modelo de tres componentes, pero sin este ítem, dado que no es la idea del modelo generar componentes que sean definidos por una sola variable (sino por un conjunto de ellas).</w:t>
      </w:r>
    </w:p>
    <w:p w:rsidR="00D651EA" w:rsidRDefault="00D651EA" w:rsidP="00D651EA"/>
    <w:p w:rsidR="001B0FE2" w:rsidRDefault="001B0FE2"/>
    <w:sectPr w:rsidR="001B0FE2" w:rsidSect="00CD629E">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F9199D"/>
    <w:multiLevelType w:val="hybridMultilevel"/>
    <w:tmpl w:val="E38AAD1C"/>
    <w:lvl w:ilvl="0" w:tplc="47B8CC66">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compat/>
  <w:rsids>
    <w:rsidRoot w:val="00D651EA"/>
    <w:rsid w:val="001B0FE2"/>
    <w:rsid w:val="00D651EA"/>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FE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51EA"/>
    <w:pPr>
      <w:ind w:left="720"/>
      <w:contextualSpacing/>
    </w:pPr>
    <w:rPr>
      <w:rFonts w:ascii="Calibri" w:eastAsia="Calibri" w:hAnsi="Calibri" w:cs="Times New Roman"/>
    </w:rPr>
  </w:style>
  <w:style w:type="paragraph" w:styleId="BalloonText">
    <w:name w:val="Balloon Text"/>
    <w:basedOn w:val="Normal"/>
    <w:link w:val="BalloonTextChar"/>
    <w:uiPriority w:val="99"/>
    <w:semiHidden/>
    <w:unhideWhenUsed/>
    <w:rsid w:val="00D651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1E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1178</Words>
  <Characters>6482</Characters>
  <Application>Microsoft Office Word</Application>
  <DocSecurity>0</DocSecurity>
  <Lines>54</Lines>
  <Paragraphs>15</Paragraphs>
  <ScaleCrop>false</ScaleCrop>
  <Company/>
  <LinksUpToDate>false</LinksUpToDate>
  <CharactersWithSpaces>7645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1</cp:revision>
  <dcterms:created xsi:type="dcterms:W3CDTF">2013-12-06T03:26:00Z</dcterms:created>
  <dcterms:modified xsi:type="dcterms:W3CDTF">2013-12-06T03:27:00Z</dcterms:modified>
</cp:coreProperties>
</file>