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145" w:rsidRPr="00D820EF" w:rsidRDefault="00D820EF" w:rsidP="000F1C5A">
      <w:pPr>
        <w:spacing w:before="100" w:beforeAutospacing="1" w:after="100" w:afterAutospacing="1" w:line="240" w:lineRule="auto"/>
        <w:jc w:val="center"/>
        <w:outlineLvl w:val="1"/>
        <w:rPr>
          <w:rFonts w:ascii="Arial" w:eastAsia="Times New Roman" w:hAnsi="Arial" w:cs="Arial"/>
          <w:b/>
          <w:bCs/>
          <w:color w:val="003366"/>
          <w:sz w:val="36"/>
          <w:szCs w:val="36"/>
          <w:lang w:eastAsia="es-ES_tradnl"/>
        </w:rPr>
      </w:pPr>
      <w:r w:rsidRPr="00D820EF">
        <w:rPr>
          <w:rFonts w:ascii="Arial" w:eastAsia="Times New Roman" w:hAnsi="Arial" w:cs="Arial"/>
          <w:b/>
          <w:bCs/>
          <w:color w:val="003366"/>
          <w:sz w:val="36"/>
          <w:szCs w:val="36"/>
          <w:lang w:eastAsia="es-ES_tradnl"/>
        </w:rPr>
        <w:t>Barreras al Comercio Internacional</w:t>
      </w:r>
    </w:p>
    <w:p w:rsidR="00D820EF" w:rsidRPr="00D820EF" w:rsidRDefault="00D820EF" w:rsidP="00D820EF">
      <w:pPr>
        <w:spacing w:before="100" w:beforeAutospacing="1" w:after="100" w:afterAutospacing="1" w:line="240" w:lineRule="auto"/>
        <w:jc w:val="both"/>
        <w:outlineLvl w:val="3"/>
        <w:rPr>
          <w:rFonts w:ascii="Arial" w:eastAsia="Times New Roman" w:hAnsi="Arial" w:cs="Arial"/>
          <w:b/>
          <w:bCs/>
          <w:color w:val="003366"/>
          <w:sz w:val="24"/>
          <w:szCs w:val="24"/>
          <w:lang w:eastAsia="es-ES_tradnl"/>
        </w:rPr>
      </w:pPr>
      <w:r w:rsidRPr="00D820EF">
        <w:rPr>
          <w:rFonts w:ascii="Arial" w:eastAsia="Times New Roman" w:hAnsi="Arial" w:cs="Arial"/>
          <w:b/>
          <w:bCs/>
          <w:color w:val="003366"/>
          <w:sz w:val="24"/>
          <w:szCs w:val="24"/>
          <w:lang w:eastAsia="es-ES_tradnl"/>
        </w:rPr>
        <w:t>¿Qué se entiende por barreras arancelarias?</w:t>
      </w:r>
    </w:p>
    <w:p w:rsidR="00D725A2" w:rsidRPr="00D725A2" w:rsidRDefault="00D725A2" w:rsidP="00D820EF">
      <w:pPr>
        <w:spacing w:after="0" w:line="240" w:lineRule="auto"/>
        <w:jc w:val="both"/>
        <w:rPr>
          <w:rFonts w:ascii="Arial" w:eastAsia="Times New Roman" w:hAnsi="Arial" w:cs="Arial"/>
          <w:color w:val="003366"/>
          <w:sz w:val="18"/>
          <w:szCs w:val="18"/>
          <w:lang w:eastAsia="es-ES_tradnl"/>
        </w:rPr>
      </w:pPr>
      <w:r w:rsidRPr="00D725A2">
        <w:rPr>
          <w:rFonts w:ascii="Arial" w:hAnsi="Arial" w:cs="Arial"/>
          <w:color w:val="003366"/>
          <w:sz w:val="18"/>
          <w:szCs w:val="18"/>
        </w:rPr>
        <w:t>Las barreras arancelarias son un tipo de barrera comercial y consisten en la aplicación de tasas impositivas que deben ser canceladas al momento de nacionalizar las mercancías. Estos aranceles pueden elevarse con el fin de impedir la importación de ciertas mercancías, ya sea para mantener un equilibrio en la balanza comercial de un país, proteger la producción nacional o aumentar el intercambio entre países.</w:t>
      </w:r>
    </w:p>
    <w:p w:rsidR="00D725A2" w:rsidRDefault="00D725A2" w:rsidP="00D820EF">
      <w:pPr>
        <w:spacing w:after="0" w:line="240" w:lineRule="auto"/>
        <w:jc w:val="both"/>
        <w:rPr>
          <w:rFonts w:ascii="Arial" w:eastAsia="Times New Roman" w:hAnsi="Arial" w:cs="Arial"/>
          <w:color w:val="003366"/>
          <w:sz w:val="18"/>
          <w:szCs w:val="18"/>
          <w:lang w:eastAsia="es-ES_tradnl"/>
        </w:rPr>
      </w:pPr>
    </w:p>
    <w:p w:rsidR="00D820EF" w:rsidRPr="00D820EF" w:rsidRDefault="00D820EF" w:rsidP="00D820EF">
      <w:pPr>
        <w:spacing w:after="0" w:line="240" w:lineRule="auto"/>
        <w:jc w:val="both"/>
        <w:rPr>
          <w:rFonts w:ascii="Arial" w:eastAsia="Times New Roman" w:hAnsi="Arial" w:cs="Arial"/>
          <w:color w:val="003366"/>
          <w:sz w:val="18"/>
          <w:szCs w:val="18"/>
          <w:lang w:eastAsia="es-ES_tradnl"/>
        </w:rPr>
      </w:pPr>
      <w:r w:rsidRPr="00D820EF">
        <w:rPr>
          <w:rFonts w:ascii="Arial" w:eastAsia="Times New Roman" w:hAnsi="Arial" w:cs="Arial"/>
          <w:color w:val="003366"/>
          <w:sz w:val="18"/>
          <w:szCs w:val="18"/>
          <w:lang w:eastAsia="es-ES_tradnl"/>
        </w:rPr>
        <w:t>En el marco de los acuerdos firmados bajo el amparo de la Organización Mundial de Comercio – OMC este tipo de barrera comercial está regulada, para resguardar así los principios básicos de la Organización que garantizan el trato no discriminatorio que brinde determinado país a otro país miembro en relación a sus nacionales (</w:t>
      </w:r>
      <w:r>
        <w:rPr>
          <w:rFonts w:ascii="Arial" w:eastAsia="Times New Roman" w:hAnsi="Arial" w:cs="Arial"/>
          <w:b/>
          <w:color w:val="003366"/>
          <w:sz w:val="18"/>
          <w:szCs w:val="18"/>
          <w:lang w:eastAsia="es-ES_tradnl"/>
        </w:rPr>
        <w:t>Trato N</w:t>
      </w:r>
      <w:r w:rsidRPr="00D820EF">
        <w:rPr>
          <w:rFonts w:ascii="Arial" w:eastAsia="Times New Roman" w:hAnsi="Arial" w:cs="Arial"/>
          <w:b/>
          <w:color w:val="003366"/>
          <w:sz w:val="18"/>
          <w:szCs w:val="18"/>
          <w:lang w:eastAsia="es-ES_tradnl"/>
        </w:rPr>
        <w:t>acional</w:t>
      </w:r>
      <w:r w:rsidRPr="00D820EF">
        <w:rPr>
          <w:rFonts w:ascii="Arial" w:eastAsia="Times New Roman" w:hAnsi="Arial" w:cs="Arial"/>
          <w:color w:val="003366"/>
          <w:sz w:val="18"/>
          <w:szCs w:val="18"/>
          <w:lang w:eastAsia="es-ES_tradnl"/>
        </w:rPr>
        <w:t>), que cada miembro conceda a todos los demás miembros un trato no menos favorable que el concedido a las importaciones procedentes de cualquier otro país (</w:t>
      </w:r>
      <w:r>
        <w:rPr>
          <w:rFonts w:ascii="Arial" w:eastAsia="Times New Roman" w:hAnsi="Arial" w:cs="Arial"/>
          <w:b/>
          <w:color w:val="003366"/>
          <w:sz w:val="18"/>
          <w:szCs w:val="18"/>
          <w:lang w:eastAsia="es-ES_tradnl"/>
        </w:rPr>
        <w:t>Nación más F</w:t>
      </w:r>
      <w:r w:rsidRPr="00D820EF">
        <w:rPr>
          <w:rFonts w:ascii="Arial" w:eastAsia="Times New Roman" w:hAnsi="Arial" w:cs="Arial"/>
          <w:b/>
          <w:color w:val="003366"/>
          <w:sz w:val="18"/>
          <w:szCs w:val="18"/>
          <w:lang w:eastAsia="es-ES_tradnl"/>
        </w:rPr>
        <w:t>avorecida-NMF</w:t>
      </w:r>
      <w:r w:rsidRPr="00D820EF">
        <w:rPr>
          <w:rFonts w:ascii="Arial" w:eastAsia="Times New Roman" w:hAnsi="Arial" w:cs="Arial"/>
          <w:color w:val="003366"/>
          <w:sz w:val="18"/>
          <w:szCs w:val="18"/>
          <w:lang w:eastAsia="es-ES_tradnl"/>
        </w:rPr>
        <w:t>), y que se respete el compromiso de no elevar el arancel aplicado en el Arancel Aduanero Nacional por encima del nivel consolidado*.</w:t>
      </w:r>
    </w:p>
    <w:p w:rsidR="00E345A5" w:rsidRDefault="00D820EF" w:rsidP="00E345A5">
      <w:pPr>
        <w:spacing w:after="0" w:line="240" w:lineRule="auto"/>
        <w:jc w:val="both"/>
        <w:rPr>
          <w:rFonts w:ascii="Arial" w:eastAsia="Times New Roman" w:hAnsi="Arial" w:cs="Arial"/>
          <w:color w:val="003366"/>
          <w:sz w:val="18"/>
          <w:szCs w:val="18"/>
          <w:lang w:eastAsia="es-ES_tradnl"/>
        </w:rPr>
      </w:pPr>
      <w:r w:rsidRPr="00D820EF">
        <w:rPr>
          <w:rFonts w:ascii="Arial" w:eastAsia="Times New Roman" w:hAnsi="Arial" w:cs="Arial"/>
          <w:color w:val="003366"/>
          <w:sz w:val="18"/>
          <w:szCs w:val="18"/>
          <w:lang w:eastAsia="es-ES_tradnl"/>
        </w:rPr>
        <w:t> </w:t>
      </w:r>
    </w:p>
    <w:p w:rsidR="00D820EF" w:rsidRPr="00D820EF" w:rsidRDefault="00D820EF" w:rsidP="00E345A5">
      <w:pPr>
        <w:spacing w:after="0" w:line="240" w:lineRule="auto"/>
        <w:jc w:val="both"/>
        <w:rPr>
          <w:rFonts w:ascii="Arial" w:eastAsia="Times New Roman" w:hAnsi="Arial" w:cs="Arial"/>
          <w:color w:val="003366"/>
          <w:sz w:val="18"/>
          <w:szCs w:val="18"/>
          <w:lang w:eastAsia="es-ES_tradnl"/>
        </w:rPr>
      </w:pPr>
      <w:r w:rsidRPr="00D820EF">
        <w:rPr>
          <w:rFonts w:ascii="Arial" w:eastAsia="Times New Roman" w:hAnsi="Arial" w:cs="Arial"/>
          <w:color w:val="003366"/>
          <w:sz w:val="18"/>
          <w:szCs w:val="18"/>
          <w:lang w:eastAsia="es-ES_tradnl"/>
        </w:rPr>
        <w:t xml:space="preserve">Más detalles de los Acuerdos de la OMC y sus principios básicos en </w:t>
      </w:r>
      <w:r w:rsidR="00E345A5" w:rsidRPr="00D820EF">
        <w:rPr>
          <w:rFonts w:ascii="Arial" w:eastAsia="Times New Roman" w:hAnsi="Arial" w:cs="Arial"/>
          <w:color w:val="003366"/>
          <w:sz w:val="18"/>
          <w:szCs w:val="18"/>
          <w:lang w:eastAsia="es-ES_tradnl"/>
        </w:rPr>
        <w:t>L</w:t>
      </w:r>
      <w:r w:rsidR="00E345A5">
        <w:rPr>
          <w:rFonts w:ascii="Arial" w:eastAsia="Times New Roman" w:hAnsi="Arial" w:cs="Arial"/>
          <w:color w:val="003366"/>
          <w:sz w:val="18"/>
          <w:szCs w:val="18"/>
          <w:lang w:eastAsia="es-ES_tradnl"/>
        </w:rPr>
        <w:t>os archivos respectivos enviados</w:t>
      </w:r>
      <w:r w:rsidRPr="00D820EF">
        <w:rPr>
          <w:rFonts w:ascii="Arial" w:eastAsia="Times New Roman" w:hAnsi="Arial" w:cs="Arial"/>
          <w:color w:val="003366"/>
          <w:sz w:val="18"/>
          <w:szCs w:val="18"/>
          <w:lang w:eastAsia="es-ES_tradnl"/>
        </w:rPr>
        <w:t>.</w:t>
      </w:r>
    </w:p>
    <w:p w:rsidR="00D820EF" w:rsidRPr="00D820EF" w:rsidRDefault="00D820EF" w:rsidP="00E345A5">
      <w:pPr>
        <w:spacing w:before="75" w:after="75" w:line="240" w:lineRule="auto"/>
        <w:jc w:val="both"/>
        <w:rPr>
          <w:rFonts w:ascii="Arial" w:eastAsia="Times New Roman" w:hAnsi="Arial" w:cs="Arial"/>
          <w:color w:val="003366"/>
          <w:sz w:val="18"/>
          <w:szCs w:val="18"/>
          <w:lang w:eastAsia="es-ES_tradnl"/>
        </w:rPr>
      </w:pPr>
      <w:r w:rsidRPr="00D820EF">
        <w:rPr>
          <w:rFonts w:ascii="Arial" w:eastAsia="Times New Roman" w:hAnsi="Arial" w:cs="Arial"/>
          <w:b/>
          <w:color w:val="003366"/>
          <w:sz w:val="18"/>
          <w:szCs w:val="18"/>
          <w:lang w:eastAsia="es-ES_tradnl"/>
        </w:rPr>
        <w:t>“Arancel consolidado</w:t>
      </w:r>
      <w:r w:rsidRPr="00D820EF">
        <w:rPr>
          <w:rFonts w:ascii="Arial" w:eastAsia="Times New Roman" w:hAnsi="Arial" w:cs="Arial"/>
          <w:color w:val="003366"/>
          <w:sz w:val="18"/>
          <w:szCs w:val="18"/>
          <w:lang w:eastAsia="es-ES_tradnl"/>
        </w:rPr>
        <w:t>” es un arancel respecto del cual hay un compromiso jurídico de no elevarlo por encima del nivel comprometido en el Acuerdo OMC, éste arancel puede ser distinto de un arancel aplicado puesto que el país miembro puede aplicar un arancel menor que el que se comprometió a aplicar.</w:t>
      </w:r>
    </w:p>
    <w:p w:rsidR="00D820EF" w:rsidRPr="001F7145" w:rsidRDefault="00D820EF" w:rsidP="00E345A5">
      <w:pPr>
        <w:jc w:val="both"/>
        <w:rPr>
          <w:sz w:val="16"/>
          <w:szCs w:val="16"/>
        </w:rPr>
      </w:pPr>
    </w:p>
    <w:p w:rsidR="00C77F97" w:rsidRPr="00C77F97" w:rsidRDefault="00C77F97" w:rsidP="00C77F97">
      <w:pPr>
        <w:spacing w:before="100" w:beforeAutospacing="1" w:after="100" w:afterAutospacing="1" w:line="240" w:lineRule="auto"/>
        <w:jc w:val="both"/>
        <w:outlineLvl w:val="3"/>
        <w:rPr>
          <w:rFonts w:ascii="Arial" w:eastAsia="Times New Roman" w:hAnsi="Arial" w:cs="Arial"/>
          <w:b/>
          <w:bCs/>
          <w:color w:val="003366"/>
          <w:sz w:val="24"/>
          <w:szCs w:val="24"/>
          <w:lang w:eastAsia="es-ES_tradnl"/>
        </w:rPr>
      </w:pPr>
      <w:r w:rsidRPr="00C77F97">
        <w:rPr>
          <w:rFonts w:ascii="Arial" w:eastAsia="Times New Roman" w:hAnsi="Arial" w:cs="Arial"/>
          <w:b/>
          <w:bCs/>
          <w:color w:val="003366"/>
          <w:sz w:val="24"/>
          <w:szCs w:val="24"/>
          <w:lang w:eastAsia="es-ES_tradnl"/>
        </w:rPr>
        <w:t>¿Qué se entiende por barrera comercial?</w:t>
      </w:r>
    </w:p>
    <w:p w:rsidR="002E200C" w:rsidRPr="002E200C" w:rsidRDefault="002E200C" w:rsidP="00C77F97">
      <w:pPr>
        <w:spacing w:before="100" w:beforeAutospacing="1" w:after="100" w:afterAutospacing="1" w:line="240" w:lineRule="auto"/>
        <w:jc w:val="both"/>
        <w:rPr>
          <w:rFonts w:ascii="Arial" w:eastAsia="Times New Roman" w:hAnsi="Arial" w:cs="Arial"/>
          <w:color w:val="003366"/>
          <w:sz w:val="18"/>
          <w:szCs w:val="18"/>
          <w:lang w:eastAsia="es-ES_tradnl"/>
        </w:rPr>
      </w:pPr>
      <w:r w:rsidRPr="002E200C">
        <w:rPr>
          <w:rFonts w:ascii="Arial" w:hAnsi="Arial" w:cs="Arial"/>
          <w:color w:val="003366"/>
          <w:sz w:val="18"/>
          <w:szCs w:val="18"/>
        </w:rPr>
        <w:t>Se entiende como barrera comercial los mecanismos proteccionistas que las autoridades de un país utilizan para limitar el ingreso a sus territorios de productos importados. Las barreras comerciales se dividen en barreras arancelarias y barreras no arancelarias.</w:t>
      </w:r>
    </w:p>
    <w:p w:rsidR="00C77F97" w:rsidRDefault="00C77F97" w:rsidP="00C77F97">
      <w:pPr>
        <w:spacing w:before="100" w:beforeAutospacing="1" w:after="100" w:afterAutospacing="1" w:line="240" w:lineRule="auto"/>
        <w:jc w:val="both"/>
        <w:rPr>
          <w:rFonts w:ascii="Arial" w:eastAsia="Times New Roman" w:hAnsi="Arial" w:cs="Arial"/>
          <w:color w:val="003366"/>
          <w:sz w:val="18"/>
          <w:szCs w:val="18"/>
          <w:lang w:eastAsia="es-ES_tradnl"/>
        </w:rPr>
      </w:pPr>
      <w:r w:rsidRPr="00C77F97">
        <w:rPr>
          <w:rFonts w:ascii="Arial" w:eastAsia="Times New Roman" w:hAnsi="Arial" w:cs="Arial"/>
          <w:color w:val="003366"/>
          <w:sz w:val="18"/>
          <w:szCs w:val="18"/>
          <w:lang w:eastAsia="es-ES_tradnl"/>
        </w:rPr>
        <w:t>Algunos ejemplos de barreras comerciales son los aranceles, cuotas, precios de referencia, licencias de importación, permisos sanitarios y fitosanitarios, entre otros. </w:t>
      </w:r>
    </w:p>
    <w:p w:rsidR="00C77F97" w:rsidRPr="00C77F97" w:rsidRDefault="00C77F97" w:rsidP="00C77F97">
      <w:pPr>
        <w:spacing w:before="100" w:beforeAutospacing="1" w:after="100" w:afterAutospacing="1" w:line="240" w:lineRule="auto"/>
        <w:jc w:val="both"/>
        <w:rPr>
          <w:rFonts w:ascii="Arial" w:eastAsia="Times New Roman" w:hAnsi="Arial" w:cs="Arial"/>
          <w:color w:val="003366"/>
          <w:sz w:val="18"/>
          <w:szCs w:val="18"/>
          <w:lang w:eastAsia="es-ES_tradnl"/>
        </w:rPr>
      </w:pPr>
      <w:r w:rsidRPr="00C77F97">
        <w:rPr>
          <w:rFonts w:ascii="Arial" w:eastAsia="Times New Roman" w:hAnsi="Arial" w:cs="Arial"/>
          <w:color w:val="003366"/>
          <w:sz w:val="18"/>
          <w:szCs w:val="18"/>
          <w:lang w:eastAsia="es-ES_tradnl"/>
        </w:rPr>
        <w:t>Los aranceles y cuotas son las medidas de efectos más visibles y fueron las preferidas por las autoridades de distintos mercados, pero en el último tiempo debido a que el comportamiento mundial tiende a una liberalización arancelaria, se han incrementado las barreras del tipo no arancelario, como la implementación de una reglamentación demasiado estricta para determinados productos. </w:t>
      </w:r>
    </w:p>
    <w:p w:rsidR="00C77F97" w:rsidRPr="00C77F97" w:rsidRDefault="00C77F97" w:rsidP="00C77F97">
      <w:pPr>
        <w:spacing w:before="100" w:beforeAutospacing="1" w:after="100" w:afterAutospacing="1" w:line="240" w:lineRule="auto"/>
        <w:jc w:val="both"/>
        <w:rPr>
          <w:rFonts w:ascii="Arial" w:eastAsia="Times New Roman" w:hAnsi="Arial" w:cs="Arial"/>
          <w:color w:val="003366"/>
          <w:sz w:val="18"/>
          <w:szCs w:val="18"/>
          <w:lang w:eastAsia="es-ES_tradnl"/>
        </w:rPr>
      </w:pPr>
      <w:r w:rsidRPr="00C77F97">
        <w:rPr>
          <w:rFonts w:ascii="Arial" w:eastAsia="Times New Roman" w:hAnsi="Arial" w:cs="Arial"/>
          <w:color w:val="003366"/>
          <w:sz w:val="18"/>
          <w:szCs w:val="18"/>
          <w:lang w:eastAsia="es-ES_tradnl"/>
        </w:rPr>
        <w:t>Estas medidas tienen el objetivo de proteger las economías nacionales y sus sociedades, siguiendo los propósitos de proteger a la población en materia de salud (por ejemplo certificados sanitarios), para así garantizar la calidad e inocuidad de los productos; apoyar al exportador nacional permitiéndole competir de manera igualitaria con los productos importados; resguardar la seguridad pública regulando o prohibiendo el ingreso de productos que signifiquen un peligro; permitir la recaudación de ingresos para los planes estatales; e incentivar la producción nacional. Sin embargo lo anterior, estas medidas pueden ocasionar ciertos efectos negativos, ya que por ejemplo pueden limitar la oferta de productos en el mercado nacional al implementar una política restrictiva de las importaciones, causando colateralmente el aumento de precios al reducirse la oferta, entre otras posibles consecuencias. </w:t>
      </w:r>
    </w:p>
    <w:p w:rsidR="00C77F97" w:rsidRPr="00C77F97" w:rsidRDefault="00C77F97" w:rsidP="000F1C5A">
      <w:pPr>
        <w:spacing w:before="100" w:beforeAutospacing="1" w:after="100" w:afterAutospacing="1" w:line="240" w:lineRule="auto"/>
        <w:jc w:val="both"/>
        <w:rPr>
          <w:rFonts w:ascii="Arial" w:eastAsia="Times New Roman" w:hAnsi="Arial" w:cs="Arial"/>
          <w:color w:val="003366"/>
          <w:sz w:val="18"/>
          <w:szCs w:val="18"/>
          <w:lang w:eastAsia="es-ES_tradnl"/>
        </w:rPr>
      </w:pPr>
      <w:r w:rsidRPr="00C77F97">
        <w:rPr>
          <w:rFonts w:ascii="Arial" w:eastAsia="Times New Roman" w:hAnsi="Arial" w:cs="Arial"/>
          <w:color w:val="003366"/>
          <w:sz w:val="18"/>
          <w:szCs w:val="18"/>
          <w:lang w:eastAsia="es-ES_tradnl"/>
        </w:rPr>
        <w:t>Ejemplos de barreras comerciales:</w:t>
      </w:r>
    </w:p>
    <w:p w:rsidR="00C77F97" w:rsidRPr="00C77F97" w:rsidRDefault="00C77F97" w:rsidP="00C77F97">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Certificaciones</w:t>
      </w:r>
    </w:p>
    <w:p w:rsidR="00C77F97" w:rsidRPr="00C77F97" w:rsidRDefault="00C77F97" w:rsidP="00C77F97">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Aranceles</w:t>
      </w:r>
    </w:p>
    <w:p w:rsidR="00C77F97" w:rsidRPr="00C77F97" w:rsidRDefault="00C77F97" w:rsidP="00C77F97">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Cuotas</w:t>
      </w:r>
    </w:p>
    <w:p w:rsidR="00C77F97" w:rsidRPr="00C77F97" w:rsidRDefault="00C77F97" w:rsidP="00C77F97">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Licencias de importación</w:t>
      </w:r>
    </w:p>
    <w:p w:rsidR="00C77F97" w:rsidRPr="00C77F97" w:rsidRDefault="00C77F97" w:rsidP="00C77F97">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Normas de etiquetado</w:t>
      </w:r>
    </w:p>
    <w:p w:rsidR="00C77F97" w:rsidRPr="00C77F97" w:rsidRDefault="00C77F97" w:rsidP="00C77F97">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Prohibiciones sanitarias</w:t>
      </w:r>
    </w:p>
    <w:p w:rsidR="00C77F97" w:rsidRPr="00C77F97" w:rsidRDefault="00C77F97" w:rsidP="00C77F97">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Obtención de permisos sanitarios y fitosanitarios</w:t>
      </w:r>
    </w:p>
    <w:p w:rsidR="00093AD6" w:rsidRPr="000F1C5A" w:rsidRDefault="00C77F97" w:rsidP="00190E46">
      <w:pPr>
        <w:spacing w:before="75" w:after="75" w:line="240" w:lineRule="auto"/>
        <w:jc w:val="both"/>
        <w:rPr>
          <w:rFonts w:ascii="Arial" w:eastAsia="Times New Roman" w:hAnsi="Arial" w:cs="Arial"/>
          <w:color w:val="003366"/>
          <w:sz w:val="16"/>
          <w:szCs w:val="16"/>
          <w:lang w:eastAsia="es-ES_tradnl"/>
        </w:rPr>
      </w:pPr>
      <w:r w:rsidRPr="00C77F97">
        <w:rPr>
          <w:rFonts w:ascii="Arial" w:eastAsia="Times New Roman" w:hAnsi="Arial" w:cs="Arial"/>
          <w:color w:val="003366"/>
          <w:sz w:val="16"/>
          <w:szCs w:val="16"/>
          <w:lang w:eastAsia="es-ES_tradnl"/>
        </w:rPr>
        <w:t xml:space="preserve">Autorizaciones para importaciones, etc. </w:t>
      </w:r>
    </w:p>
    <w:p w:rsidR="00093AD6" w:rsidRPr="00093AD6" w:rsidRDefault="00093AD6" w:rsidP="00093AD6">
      <w:pPr>
        <w:spacing w:before="100" w:beforeAutospacing="1" w:after="100" w:afterAutospacing="1" w:line="240" w:lineRule="auto"/>
        <w:outlineLvl w:val="3"/>
        <w:rPr>
          <w:rFonts w:ascii="Arial" w:eastAsia="Times New Roman" w:hAnsi="Arial" w:cs="Arial"/>
          <w:b/>
          <w:bCs/>
          <w:color w:val="003366"/>
          <w:sz w:val="24"/>
          <w:szCs w:val="24"/>
          <w:lang w:eastAsia="es-ES_tradnl"/>
        </w:rPr>
      </w:pPr>
      <w:r w:rsidRPr="00093AD6">
        <w:rPr>
          <w:rFonts w:ascii="Arial" w:eastAsia="Times New Roman" w:hAnsi="Arial" w:cs="Arial"/>
          <w:b/>
          <w:bCs/>
          <w:color w:val="003366"/>
          <w:sz w:val="24"/>
          <w:szCs w:val="24"/>
          <w:lang w:eastAsia="es-ES_tradnl"/>
        </w:rPr>
        <w:lastRenderedPageBreak/>
        <w:t>¿Qué se entiende por cláusulas de salvaguardia?</w:t>
      </w:r>
    </w:p>
    <w:p w:rsidR="00190E46" w:rsidRPr="00190E46" w:rsidRDefault="00190E46" w:rsidP="00093AD6">
      <w:pPr>
        <w:spacing w:after="0" w:line="240" w:lineRule="auto"/>
        <w:jc w:val="both"/>
        <w:rPr>
          <w:rFonts w:ascii="Arial" w:eastAsia="Times New Roman" w:hAnsi="Arial" w:cs="Arial"/>
          <w:color w:val="003366"/>
          <w:sz w:val="18"/>
          <w:szCs w:val="18"/>
          <w:lang w:eastAsia="es-ES_tradnl"/>
        </w:rPr>
      </w:pPr>
      <w:r w:rsidRPr="00190E46">
        <w:rPr>
          <w:rFonts w:ascii="Arial" w:hAnsi="Arial" w:cs="Arial"/>
          <w:color w:val="003366"/>
          <w:sz w:val="18"/>
          <w:szCs w:val="18"/>
        </w:rPr>
        <w:t>Las cláusulas de salvaguardia son un conjunto de disposiciones que están encaminadas al establecimiento de barreras proteccionistas.</w:t>
      </w:r>
    </w:p>
    <w:p w:rsidR="00190E46" w:rsidRPr="00190E46" w:rsidRDefault="00190E46" w:rsidP="00093AD6">
      <w:pPr>
        <w:spacing w:after="0" w:line="240" w:lineRule="auto"/>
        <w:jc w:val="both"/>
        <w:rPr>
          <w:rFonts w:ascii="Arial" w:eastAsia="Times New Roman" w:hAnsi="Arial" w:cs="Arial"/>
          <w:color w:val="003366"/>
          <w:sz w:val="18"/>
          <w:szCs w:val="18"/>
          <w:lang w:eastAsia="es-ES_tradnl"/>
        </w:rPr>
      </w:pPr>
    </w:p>
    <w:p w:rsidR="00093AD6" w:rsidRPr="00093AD6" w:rsidRDefault="00093AD6" w:rsidP="00093AD6">
      <w:pPr>
        <w:spacing w:after="0" w:line="240" w:lineRule="auto"/>
        <w:jc w:val="both"/>
        <w:rPr>
          <w:rFonts w:ascii="Arial" w:eastAsia="Times New Roman" w:hAnsi="Arial" w:cs="Arial"/>
          <w:color w:val="003366"/>
          <w:sz w:val="18"/>
          <w:szCs w:val="18"/>
          <w:lang w:eastAsia="es-ES_tradnl"/>
        </w:rPr>
      </w:pPr>
      <w:r w:rsidRPr="00093AD6">
        <w:rPr>
          <w:rFonts w:ascii="Arial" w:eastAsia="Times New Roman" w:hAnsi="Arial" w:cs="Arial"/>
          <w:color w:val="003366"/>
          <w:sz w:val="18"/>
          <w:szCs w:val="18"/>
          <w:lang w:eastAsia="es-ES_tradnl"/>
        </w:rPr>
        <w:t>Estas disposiciones buscan  restringir temporalmente las importaciones de un producto, para proteger a una rama de la producción nacional específica contra un aumento de las importaciones de un producto que cause o amenace causar un daño grave a esa rama de la producción.</w:t>
      </w:r>
    </w:p>
    <w:p w:rsidR="00093AD6" w:rsidRPr="00093AD6" w:rsidRDefault="00093AD6" w:rsidP="00093AD6">
      <w:pPr>
        <w:spacing w:after="0" w:line="240" w:lineRule="auto"/>
        <w:jc w:val="both"/>
        <w:rPr>
          <w:rFonts w:ascii="Arial" w:eastAsia="Times New Roman" w:hAnsi="Arial" w:cs="Arial"/>
          <w:color w:val="003366"/>
          <w:sz w:val="18"/>
          <w:szCs w:val="18"/>
          <w:lang w:eastAsia="es-ES_tradnl"/>
        </w:rPr>
      </w:pPr>
      <w:r w:rsidRPr="00093AD6">
        <w:rPr>
          <w:rFonts w:ascii="Arial" w:eastAsia="Times New Roman" w:hAnsi="Arial" w:cs="Arial"/>
          <w:color w:val="003366"/>
          <w:sz w:val="18"/>
          <w:szCs w:val="18"/>
          <w:lang w:eastAsia="es-ES_tradnl"/>
        </w:rPr>
        <w:t> </w:t>
      </w:r>
    </w:p>
    <w:p w:rsidR="00093AD6" w:rsidRPr="00093AD6" w:rsidRDefault="00093AD6" w:rsidP="00093AD6">
      <w:pPr>
        <w:spacing w:after="0" w:line="240" w:lineRule="auto"/>
        <w:jc w:val="both"/>
        <w:rPr>
          <w:rFonts w:ascii="Arial" w:eastAsia="Times New Roman" w:hAnsi="Arial" w:cs="Arial"/>
          <w:color w:val="003366"/>
          <w:sz w:val="18"/>
          <w:szCs w:val="18"/>
          <w:lang w:eastAsia="es-ES_tradnl"/>
        </w:rPr>
      </w:pPr>
      <w:r w:rsidRPr="00093AD6">
        <w:rPr>
          <w:rFonts w:ascii="Arial" w:eastAsia="Times New Roman" w:hAnsi="Arial" w:cs="Arial"/>
          <w:color w:val="003366"/>
          <w:sz w:val="18"/>
          <w:szCs w:val="18"/>
          <w:lang w:eastAsia="es-ES_tradnl"/>
        </w:rPr>
        <w:t>Bajo el Acuerdo sobre Salvaguardias de la Organización Mundial de Comercio - OMC, se establecen normas que regulan la aplicación de estas</w:t>
      </w:r>
      <w:r>
        <w:rPr>
          <w:rFonts w:ascii="Arial" w:eastAsia="Times New Roman" w:hAnsi="Arial" w:cs="Arial"/>
          <w:color w:val="003366"/>
          <w:sz w:val="18"/>
          <w:szCs w:val="18"/>
          <w:lang w:eastAsia="es-ES_tradnl"/>
        </w:rPr>
        <w:t xml:space="preserve"> medidas, estableciendo bajo qué</w:t>
      </w:r>
      <w:r w:rsidRPr="00093AD6">
        <w:rPr>
          <w:rFonts w:ascii="Arial" w:eastAsia="Times New Roman" w:hAnsi="Arial" w:cs="Arial"/>
          <w:color w:val="003366"/>
          <w:sz w:val="18"/>
          <w:szCs w:val="18"/>
          <w:lang w:eastAsia="es-ES_tradnl"/>
        </w:rPr>
        <w:t xml:space="preserve"> condiciones son procedentes y los términos en que pueden aplicarse.</w:t>
      </w:r>
    </w:p>
    <w:p w:rsidR="00093AD6" w:rsidRPr="00093AD6" w:rsidRDefault="00093AD6" w:rsidP="00093AD6">
      <w:pPr>
        <w:spacing w:after="0" w:line="240" w:lineRule="auto"/>
        <w:jc w:val="both"/>
        <w:rPr>
          <w:rFonts w:ascii="Arial" w:eastAsia="Times New Roman" w:hAnsi="Arial" w:cs="Arial"/>
          <w:color w:val="003366"/>
          <w:sz w:val="18"/>
          <w:szCs w:val="18"/>
          <w:lang w:eastAsia="es-ES_tradnl"/>
        </w:rPr>
      </w:pPr>
      <w:r w:rsidRPr="00093AD6">
        <w:rPr>
          <w:rFonts w:ascii="Arial" w:eastAsia="Times New Roman" w:hAnsi="Arial" w:cs="Arial"/>
          <w:color w:val="003366"/>
          <w:sz w:val="18"/>
          <w:szCs w:val="18"/>
          <w:lang w:eastAsia="es-ES_tradnl"/>
        </w:rPr>
        <w:t> </w:t>
      </w:r>
    </w:p>
    <w:p w:rsidR="00093AD6" w:rsidRPr="00093AD6" w:rsidRDefault="00093AD6" w:rsidP="00093AD6">
      <w:pPr>
        <w:spacing w:after="0" w:line="240" w:lineRule="auto"/>
        <w:jc w:val="both"/>
        <w:rPr>
          <w:rFonts w:ascii="Arial" w:eastAsia="Times New Roman" w:hAnsi="Arial" w:cs="Arial"/>
          <w:color w:val="003366"/>
          <w:sz w:val="18"/>
          <w:szCs w:val="18"/>
          <w:lang w:eastAsia="es-ES_tradnl"/>
        </w:rPr>
      </w:pPr>
      <w:r w:rsidRPr="00093AD6">
        <w:rPr>
          <w:rFonts w:ascii="Arial" w:eastAsia="Times New Roman" w:hAnsi="Arial" w:cs="Arial"/>
          <w:color w:val="003366"/>
          <w:sz w:val="18"/>
          <w:szCs w:val="18"/>
          <w:lang w:eastAsia="es-ES_tradnl"/>
        </w:rPr>
        <w:t>Algunos ejemplos de medidas de salvaguardia son los aumentos de aranceles o los contingentes.</w:t>
      </w:r>
    </w:p>
    <w:p w:rsidR="00093AD6" w:rsidRDefault="00093AD6" w:rsidP="00E345A5">
      <w:pPr>
        <w:jc w:val="both"/>
      </w:pPr>
    </w:p>
    <w:p w:rsidR="00430409" w:rsidRPr="001F7145" w:rsidRDefault="001F7145" w:rsidP="00E345A5">
      <w:pPr>
        <w:jc w:val="both"/>
        <w:rPr>
          <w:rFonts w:ascii="Arial" w:hAnsi="Arial" w:cs="Arial"/>
          <w:b/>
          <w:sz w:val="24"/>
          <w:szCs w:val="24"/>
        </w:rPr>
      </w:pPr>
      <w:r w:rsidRPr="001F7145">
        <w:rPr>
          <w:rFonts w:ascii="Arial" w:hAnsi="Arial" w:cs="Arial"/>
          <w:b/>
          <w:color w:val="003366"/>
          <w:sz w:val="24"/>
          <w:szCs w:val="24"/>
        </w:rPr>
        <w:t>¿Qué se entiende por dumping?</w:t>
      </w:r>
    </w:p>
    <w:p w:rsidR="00430409" w:rsidRDefault="00430409" w:rsidP="00E345A5">
      <w:pPr>
        <w:jc w:val="both"/>
        <w:rPr>
          <w:rFonts w:ascii="Arial" w:hAnsi="Arial" w:cs="Arial"/>
          <w:color w:val="003366"/>
          <w:sz w:val="18"/>
          <w:szCs w:val="18"/>
        </w:rPr>
      </w:pPr>
      <w:r w:rsidRPr="00430409">
        <w:rPr>
          <w:rFonts w:ascii="Arial" w:hAnsi="Arial" w:cs="Arial"/>
          <w:color w:val="003366"/>
          <w:sz w:val="18"/>
          <w:szCs w:val="18"/>
        </w:rPr>
        <w:t>Según el Acuerdo Antidumping de la Organización Mundial de Comercio - OMC (Acuerdo relativo a la Aplicación del Artículo VI del Acuerdo general sobre Aranceles Aduaneros y Comercio de 1994), se define “dumping” como “…la introducción de un producto en el mercado de otro país a un precio inferior a su valor”, con el fin de tomar ventaja por sobre la competencia. Es decir, se produce dumping cuando una empresa interna una mercancía al mercado de un determinado país a un precio bajo el valor normal.</w:t>
      </w:r>
    </w:p>
    <w:p w:rsidR="00FE6D79" w:rsidRPr="00FE6D79" w:rsidRDefault="00FE6D79" w:rsidP="00FE6D79">
      <w:pPr>
        <w:spacing w:after="0" w:line="240" w:lineRule="auto"/>
        <w:jc w:val="both"/>
        <w:rPr>
          <w:rFonts w:ascii="Arial" w:eastAsia="Times New Roman" w:hAnsi="Arial" w:cs="Arial"/>
          <w:color w:val="003366"/>
          <w:sz w:val="18"/>
          <w:szCs w:val="18"/>
          <w:lang w:eastAsia="es-ES_tradnl"/>
        </w:rPr>
      </w:pPr>
      <w:r w:rsidRPr="00FE6D79">
        <w:rPr>
          <w:rFonts w:ascii="Arial" w:eastAsia="Times New Roman" w:hAnsi="Arial" w:cs="Arial"/>
          <w:color w:val="003366"/>
          <w:sz w:val="18"/>
          <w:szCs w:val="18"/>
          <w:lang w:eastAsia="es-ES_tradnl"/>
        </w:rPr>
        <w:t>La práctica de dumping puede desarrollarse por iniciativa de la propia empresa o por medio de subsidios estatales. Por lo general, cuando hablamos de dumping nos referimos a una situación de discriminación internacional de precios.</w:t>
      </w:r>
    </w:p>
    <w:p w:rsidR="00FE6D79" w:rsidRPr="00FE6D79" w:rsidRDefault="00FE6D79" w:rsidP="00FE6D79">
      <w:pPr>
        <w:spacing w:after="0" w:line="240" w:lineRule="auto"/>
        <w:jc w:val="both"/>
        <w:rPr>
          <w:rFonts w:ascii="Arial" w:eastAsia="Times New Roman" w:hAnsi="Arial" w:cs="Arial"/>
          <w:color w:val="003366"/>
          <w:sz w:val="18"/>
          <w:szCs w:val="18"/>
          <w:lang w:eastAsia="es-ES_tradnl"/>
        </w:rPr>
      </w:pPr>
      <w:r w:rsidRPr="00FE6D79">
        <w:rPr>
          <w:rFonts w:ascii="Arial" w:eastAsia="Times New Roman" w:hAnsi="Arial" w:cs="Arial"/>
          <w:color w:val="003366"/>
          <w:sz w:val="18"/>
          <w:szCs w:val="18"/>
          <w:lang w:eastAsia="es-ES_tradnl"/>
        </w:rPr>
        <w:t> </w:t>
      </w:r>
    </w:p>
    <w:p w:rsidR="00FE6D79" w:rsidRPr="00FE6D79" w:rsidRDefault="00FE6D79" w:rsidP="00FE6D79">
      <w:pPr>
        <w:spacing w:after="0" w:line="240" w:lineRule="auto"/>
        <w:jc w:val="both"/>
        <w:rPr>
          <w:rFonts w:ascii="Arial" w:eastAsia="Times New Roman" w:hAnsi="Arial" w:cs="Arial"/>
          <w:color w:val="003366"/>
          <w:sz w:val="18"/>
          <w:szCs w:val="18"/>
          <w:lang w:eastAsia="es-ES_tradnl"/>
        </w:rPr>
      </w:pPr>
      <w:r w:rsidRPr="00FE6D79">
        <w:rPr>
          <w:rFonts w:ascii="Arial" w:eastAsia="Times New Roman" w:hAnsi="Arial" w:cs="Arial"/>
          <w:color w:val="003366"/>
          <w:sz w:val="18"/>
          <w:szCs w:val="18"/>
          <w:lang w:eastAsia="es-ES_tradnl"/>
        </w:rPr>
        <w:t>Por ejemplo,  podemos identificar un caso simple de dumping comparando el precio de un producto en dos mercados para determinar si se presenta una diferencia de precios en ellos. Por lo general los casos de dumping son más complejos que el ejemplo expuesto y se deben realizar una serie de  análisis para poder determinar el precio adecuado en el mercado del país exportador (“valor normal”) y el precio adecuado en el mercado del país importador (“precio de exportación”) con el objetivo de poder realizar la comparación.</w:t>
      </w:r>
    </w:p>
    <w:p w:rsidR="00FE6D79" w:rsidRPr="00FE6D79" w:rsidRDefault="00FE6D79" w:rsidP="00FE6D79">
      <w:pPr>
        <w:spacing w:after="0" w:line="240" w:lineRule="auto"/>
        <w:jc w:val="both"/>
        <w:rPr>
          <w:rFonts w:ascii="Arial" w:eastAsia="Times New Roman" w:hAnsi="Arial" w:cs="Arial"/>
          <w:color w:val="003366"/>
          <w:sz w:val="18"/>
          <w:szCs w:val="18"/>
          <w:lang w:eastAsia="es-ES_tradnl"/>
        </w:rPr>
      </w:pPr>
      <w:r w:rsidRPr="00FE6D79">
        <w:rPr>
          <w:rFonts w:ascii="Arial" w:eastAsia="Times New Roman" w:hAnsi="Arial" w:cs="Arial"/>
          <w:color w:val="003366"/>
          <w:sz w:val="18"/>
          <w:szCs w:val="18"/>
          <w:lang w:eastAsia="es-ES_tradnl"/>
        </w:rPr>
        <w:t> </w:t>
      </w:r>
    </w:p>
    <w:p w:rsidR="00FE6D79" w:rsidRPr="00FE6D79" w:rsidRDefault="00FE6D79" w:rsidP="00FE6D79">
      <w:pPr>
        <w:spacing w:after="0" w:line="240" w:lineRule="auto"/>
        <w:jc w:val="both"/>
        <w:rPr>
          <w:rFonts w:ascii="Arial" w:eastAsia="Times New Roman" w:hAnsi="Arial" w:cs="Arial"/>
          <w:color w:val="003366"/>
          <w:sz w:val="18"/>
          <w:szCs w:val="18"/>
          <w:lang w:eastAsia="es-ES_tradnl"/>
        </w:rPr>
      </w:pPr>
      <w:r w:rsidRPr="00FE6D79">
        <w:rPr>
          <w:rFonts w:ascii="Arial" w:eastAsia="Times New Roman" w:hAnsi="Arial" w:cs="Arial"/>
          <w:color w:val="003366"/>
          <w:sz w:val="18"/>
          <w:szCs w:val="18"/>
          <w:lang w:eastAsia="es-ES_tradnl"/>
        </w:rPr>
        <w:t>En el acuerdo antes mencionado se establecen expresamente las condiciones en las que se pueden aplicar derechos antidumping específicos a las importaciones los que se suman a los derechos de importación. Las medidas tomadas pasan necesariamente por la previa investigación de los hechos y de la comprobación de que efectivamente se están causando daños importantes – o al menos existe la amenaza - a una rama de producción nacional o que retrasa la creación de una rama de producción nacional.</w:t>
      </w:r>
    </w:p>
    <w:p w:rsidR="00FE6D79" w:rsidRPr="00FE6D79" w:rsidRDefault="00FE6D79" w:rsidP="00FE6D79">
      <w:pPr>
        <w:spacing w:after="0" w:line="240" w:lineRule="auto"/>
        <w:jc w:val="both"/>
        <w:rPr>
          <w:rFonts w:ascii="Arial" w:eastAsia="Times New Roman" w:hAnsi="Arial" w:cs="Arial"/>
          <w:color w:val="003366"/>
          <w:sz w:val="18"/>
          <w:szCs w:val="18"/>
          <w:lang w:eastAsia="es-ES_tradnl"/>
        </w:rPr>
      </w:pPr>
      <w:r w:rsidRPr="00FE6D79">
        <w:rPr>
          <w:rFonts w:ascii="Arial" w:eastAsia="Times New Roman" w:hAnsi="Arial" w:cs="Arial"/>
          <w:color w:val="003366"/>
          <w:sz w:val="18"/>
          <w:szCs w:val="18"/>
          <w:lang w:eastAsia="es-ES_tradnl"/>
        </w:rPr>
        <w:t> </w:t>
      </w:r>
    </w:p>
    <w:p w:rsidR="00FE6D79" w:rsidRPr="00FE6D79" w:rsidRDefault="00FE6D79" w:rsidP="00FE6D79">
      <w:pPr>
        <w:spacing w:after="0" w:line="240" w:lineRule="auto"/>
        <w:jc w:val="both"/>
        <w:rPr>
          <w:rFonts w:ascii="Arial" w:eastAsia="Times New Roman" w:hAnsi="Arial" w:cs="Arial"/>
          <w:color w:val="003366"/>
          <w:sz w:val="18"/>
          <w:szCs w:val="18"/>
          <w:lang w:eastAsia="es-ES_tradnl"/>
        </w:rPr>
      </w:pPr>
      <w:r w:rsidRPr="00FE6D79">
        <w:rPr>
          <w:rFonts w:ascii="Arial" w:eastAsia="Times New Roman" w:hAnsi="Arial" w:cs="Arial"/>
          <w:color w:val="003366"/>
          <w:sz w:val="18"/>
          <w:szCs w:val="18"/>
          <w:lang w:eastAsia="es-ES_tradnl"/>
        </w:rPr>
        <w:t xml:space="preserve"> Acuerdo relativo a la Aplicación del Artículo VI del Acuerdo general sobre Aranceles Aduaneros y Comercio de 1994 o más conocido como  </w:t>
      </w:r>
      <w:hyperlink r:id="rId5" w:tgtFrame="_blank" w:tooltip="Acuerdo Antidumping" w:history="1">
        <w:r w:rsidRPr="00FE6D79">
          <w:rPr>
            <w:rFonts w:ascii="Arial" w:eastAsia="Times New Roman" w:hAnsi="Arial" w:cs="Arial"/>
            <w:color w:val="003366"/>
            <w:sz w:val="18"/>
            <w:szCs w:val="18"/>
            <w:lang w:eastAsia="es-ES_tradnl"/>
          </w:rPr>
          <w:t>Acuerdo Antidumping</w:t>
        </w:r>
      </w:hyperlink>
      <w:r w:rsidRPr="00FE6D79">
        <w:rPr>
          <w:rFonts w:ascii="Arial" w:eastAsia="Times New Roman" w:hAnsi="Arial" w:cs="Arial"/>
          <w:color w:val="003366"/>
          <w:sz w:val="18"/>
          <w:szCs w:val="18"/>
          <w:lang w:eastAsia="es-ES_tradnl"/>
        </w:rPr>
        <w:t>.</w:t>
      </w:r>
    </w:p>
    <w:p w:rsidR="00FE6D79" w:rsidRPr="00430409" w:rsidRDefault="00FE6D79" w:rsidP="00E345A5">
      <w:pPr>
        <w:jc w:val="both"/>
        <w:rPr>
          <w:rFonts w:ascii="Arial" w:hAnsi="Arial" w:cs="Arial"/>
          <w:sz w:val="18"/>
          <w:szCs w:val="18"/>
        </w:rPr>
      </w:pPr>
    </w:p>
    <w:sectPr w:rsidR="00FE6D79" w:rsidRPr="0043040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6" type="#_x0000_t75" style="width:3in;height:3in" o:bullet="t"/>
    </w:pict>
  </w:numPicBullet>
  <w:numPicBullet w:numPicBulletId="1">
    <w:pict>
      <v:shape id="_x0000_i1277" type="#_x0000_t75" style="width:3in;height:3in" o:bullet="t"/>
    </w:pict>
  </w:numPicBullet>
  <w:numPicBullet w:numPicBulletId="2">
    <w:pict>
      <v:shape id="_x0000_i1278" type="#_x0000_t75" style="width:3in;height:3in" o:bullet="t"/>
    </w:pict>
  </w:numPicBullet>
  <w:numPicBullet w:numPicBulletId="3">
    <w:pict>
      <v:shape id="_x0000_i1279" type="#_x0000_t75" style="width:3in;height:3in" o:bullet="t"/>
    </w:pict>
  </w:numPicBullet>
  <w:abstractNum w:abstractNumId="0">
    <w:nsid w:val="1B26396C"/>
    <w:multiLevelType w:val="multilevel"/>
    <w:tmpl w:val="3018908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1E7584"/>
    <w:multiLevelType w:val="multilevel"/>
    <w:tmpl w:val="2018AFE2"/>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20EF"/>
    <w:rsid w:val="00093AD6"/>
    <w:rsid w:val="000F1C5A"/>
    <w:rsid w:val="00103849"/>
    <w:rsid w:val="00190E46"/>
    <w:rsid w:val="001F7145"/>
    <w:rsid w:val="002E200C"/>
    <w:rsid w:val="00430409"/>
    <w:rsid w:val="00A00536"/>
    <w:rsid w:val="00C77F97"/>
    <w:rsid w:val="00D725A2"/>
    <w:rsid w:val="00D820EF"/>
    <w:rsid w:val="00E345A5"/>
    <w:rsid w:val="00FE6D79"/>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D820EF"/>
    <w:pPr>
      <w:spacing w:before="100" w:beforeAutospacing="1" w:after="100" w:afterAutospacing="1" w:line="240" w:lineRule="auto"/>
      <w:outlineLvl w:val="1"/>
    </w:pPr>
    <w:rPr>
      <w:rFonts w:ascii="Times New Roman" w:eastAsia="Times New Roman" w:hAnsi="Times New Roman" w:cs="Times New Roman"/>
      <w:b/>
      <w:bCs/>
      <w:sz w:val="36"/>
      <w:szCs w:val="36"/>
      <w:lang w:eastAsia="es-ES_tradnl"/>
    </w:rPr>
  </w:style>
  <w:style w:type="paragraph" w:styleId="Ttulo4">
    <w:name w:val="heading 4"/>
    <w:basedOn w:val="Normal"/>
    <w:link w:val="Ttulo4Car"/>
    <w:uiPriority w:val="9"/>
    <w:qFormat/>
    <w:rsid w:val="00D820EF"/>
    <w:pPr>
      <w:spacing w:before="100" w:beforeAutospacing="1" w:after="100" w:afterAutospacing="1" w:line="240" w:lineRule="auto"/>
      <w:outlineLvl w:val="3"/>
    </w:pPr>
    <w:rPr>
      <w:rFonts w:ascii="Times New Roman" w:eastAsia="Times New Roman" w:hAnsi="Times New Roman" w:cs="Times New Roman"/>
      <w:b/>
      <w:bCs/>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820EF"/>
    <w:rPr>
      <w:rFonts w:ascii="Times New Roman" w:eastAsia="Times New Roman" w:hAnsi="Times New Roman" w:cs="Times New Roman"/>
      <w:b/>
      <w:bCs/>
      <w:sz w:val="36"/>
      <w:szCs w:val="36"/>
      <w:lang w:eastAsia="es-ES_tradnl"/>
    </w:rPr>
  </w:style>
  <w:style w:type="character" w:customStyle="1" w:styleId="Ttulo4Car">
    <w:name w:val="Título 4 Car"/>
    <w:basedOn w:val="Fuentedeprrafopredeter"/>
    <w:link w:val="Ttulo4"/>
    <w:uiPriority w:val="9"/>
    <w:rsid w:val="00D820EF"/>
    <w:rPr>
      <w:rFonts w:ascii="Times New Roman" w:eastAsia="Times New Roman" w:hAnsi="Times New Roman" w:cs="Times New Roman"/>
      <w:b/>
      <w:bCs/>
      <w:sz w:val="24"/>
      <w:szCs w:val="24"/>
      <w:lang w:eastAsia="es-ES_tradnl"/>
    </w:rPr>
  </w:style>
  <w:style w:type="character" w:styleId="Hipervnculo">
    <w:name w:val="Hyperlink"/>
    <w:basedOn w:val="Fuentedeprrafopredeter"/>
    <w:uiPriority w:val="99"/>
    <w:semiHidden/>
    <w:unhideWhenUsed/>
    <w:rsid w:val="00D820EF"/>
    <w:rPr>
      <w:strike w:val="0"/>
      <w:dstrike w:val="0"/>
      <w:color w:val="003366"/>
      <w:u w:val="none"/>
      <w:effect w:val="none"/>
    </w:rPr>
  </w:style>
</w:styles>
</file>

<file path=word/webSettings.xml><?xml version="1.0" encoding="utf-8"?>
<w:webSettings xmlns:r="http://schemas.openxmlformats.org/officeDocument/2006/relationships" xmlns:w="http://schemas.openxmlformats.org/wordprocessingml/2006/main">
  <w:divs>
    <w:div w:id="30805886">
      <w:bodyDiv w:val="1"/>
      <w:marLeft w:val="0"/>
      <w:marRight w:val="0"/>
      <w:marTop w:val="0"/>
      <w:marBottom w:val="0"/>
      <w:divBdr>
        <w:top w:val="none" w:sz="0" w:space="0" w:color="auto"/>
        <w:left w:val="none" w:sz="0" w:space="0" w:color="auto"/>
        <w:bottom w:val="none" w:sz="0" w:space="0" w:color="auto"/>
        <w:right w:val="none" w:sz="0" w:space="0" w:color="auto"/>
      </w:divBdr>
      <w:divsChild>
        <w:div w:id="673194180">
          <w:marLeft w:val="0"/>
          <w:marRight w:val="0"/>
          <w:marTop w:val="0"/>
          <w:marBottom w:val="0"/>
          <w:divBdr>
            <w:top w:val="none" w:sz="0" w:space="0" w:color="auto"/>
            <w:left w:val="none" w:sz="0" w:space="0" w:color="auto"/>
            <w:bottom w:val="none" w:sz="0" w:space="0" w:color="auto"/>
            <w:right w:val="none" w:sz="0" w:space="0" w:color="auto"/>
          </w:divBdr>
          <w:divsChild>
            <w:div w:id="1649288292">
              <w:marLeft w:val="0"/>
              <w:marRight w:val="0"/>
              <w:marTop w:val="0"/>
              <w:marBottom w:val="0"/>
              <w:divBdr>
                <w:top w:val="none" w:sz="0" w:space="0" w:color="auto"/>
                <w:left w:val="none" w:sz="0" w:space="0" w:color="auto"/>
                <w:bottom w:val="none" w:sz="0" w:space="0" w:color="auto"/>
                <w:right w:val="none" w:sz="0" w:space="0" w:color="auto"/>
              </w:divBdr>
              <w:divsChild>
                <w:div w:id="357584520">
                  <w:marLeft w:val="3075"/>
                  <w:marRight w:val="0"/>
                  <w:marTop w:val="0"/>
                  <w:marBottom w:val="0"/>
                  <w:divBdr>
                    <w:top w:val="none" w:sz="0" w:space="0" w:color="auto"/>
                    <w:left w:val="none" w:sz="0" w:space="0" w:color="auto"/>
                    <w:bottom w:val="none" w:sz="0" w:space="0" w:color="auto"/>
                    <w:right w:val="none" w:sz="0" w:space="0" w:color="auto"/>
                  </w:divBdr>
                  <w:divsChild>
                    <w:div w:id="1137527303">
                      <w:marLeft w:val="0"/>
                      <w:marRight w:val="0"/>
                      <w:marTop w:val="0"/>
                      <w:marBottom w:val="0"/>
                      <w:divBdr>
                        <w:top w:val="none" w:sz="0" w:space="0" w:color="auto"/>
                        <w:left w:val="none" w:sz="0" w:space="0" w:color="auto"/>
                        <w:bottom w:val="none" w:sz="0" w:space="0" w:color="auto"/>
                        <w:right w:val="none" w:sz="0" w:space="0" w:color="auto"/>
                      </w:divBdr>
                      <w:divsChild>
                        <w:div w:id="12374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951677">
      <w:bodyDiv w:val="1"/>
      <w:marLeft w:val="0"/>
      <w:marRight w:val="0"/>
      <w:marTop w:val="0"/>
      <w:marBottom w:val="0"/>
      <w:divBdr>
        <w:top w:val="none" w:sz="0" w:space="0" w:color="auto"/>
        <w:left w:val="none" w:sz="0" w:space="0" w:color="auto"/>
        <w:bottom w:val="none" w:sz="0" w:space="0" w:color="auto"/>
        <w:right w:val="none" w:sz="0" w:space="0" w:color="auto"/>
      </w:divBdr>
      <w:divsChild>
        <w:div w:id="2146727818">
          <w:marLeft w:val="0"/>
          <w:marRight w:val="0"/>
          <w:marTop w:val="0"/>
          <w:marBottom w:val="0"/>
          <w:divBdr>
            <w:top w:val="none" w:sz="0" w:space="0" w:color="auto"/>
            <w:left w:val="none" w:sz="0" w:space="0" w:color="auto"/>
            <w:bottom w:val="none" w:sz="0" w:space="0" w:color="auto"/>
            <w:right w:val="none" w:sz="0" w:space="0" w:color="auto"/>
          </w:divBdr>
          <w:divsChild>
            <w:div w:id="311250095">
              <w:marLeft w:val="0"/>
              <w:marRight w:val="0"/>
              <w:marTop w:val="0"/>
              <w:marBottom w:val="0"/>
              <w:divBdr>
                <w:top w:val="none" w:sz="0" w:space="0" w:color="auto"/>
                <w:left w:val="none" w:sz="0" w:space="0" w:color="auto"/>
                <w:bottom w:val="none" w:sz="0" w:space="0" w:color="auto"/>
                <w:right w:val="none" w:sz="0" w:space="0" w:color="auto"/>
              </w:divBdr>
              <w:divsChild>
                <w:div w:id="324166210">
                  <w:marLeft w:val="3075"/>
                  <w:marRight w:val="0"/>
                  <w:marTop w:val="0"/>
                  <w:marBottom w:val="0"/>
                  <w:divBdr>
                    <w:top w:val="none" w:sz="0" w:space="0" w:color="auto"/>
                    <w:left w:val="none" w:sz="0" w:space="0" w:color="auto"/>
                    <w:bottom w:val="none" w:sz="0" w:space="0" w:color="auto"/>
                    <w:right w:val="none" w:sz="0" w:space="0" w:color="auto"/>
                  </w:divBdr>
                  <w:divsChild>
                    <w:div w:id="1086993732">
                      <w:marLeft w:val="0"/>
                      <w:marRight w:val="0"/>
                      <w:marTop w:val="0"/>
                      <w:marBottom w:val="0"/>
                      <w:divBdr>
                        <w:top w:val="none" w:sz="0" w:space="0" w:color="auto"/>
                        <w:left w:val="none" w:sz="0" w:space="0" w:color="auto"/>
                        <w:bottom w:val="none" w:sz="0" w:space="0" w:color="auto"/>
                        <w:right w:val="none" w:sz="0" w:space="0" w:color="auto"/>
                      </w:divBdr>
                      <w:divsChild>
                        <w:div w:id="25409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526010">
      <w:bodyDiv w:val="1"/>
      <w:marLeft w:val="0"/>
      <w:marRight w:val="0"/>
      <w:marTop w:val="0"/>
      <w:marBottom w:val="0"/>
      <w:divBdr>
        <w:top w:val="none" w:sz="0" w:space="0" w:color="auto"/>
        <w:left w:val="none" w:sz="0" w:space="0" w:color="auto"/>
        <w:bottom w:val="none" w:sz="0" w:space="0" w:color="auto"/>
        <w:right w:val="none" w:sz="0" w:space="0" w:color="auto"/>
      </w:divBdr>
      <w:divsChild>
        <w:div w:id="993922216">
          <w:marLeft w:val="0"/>
          <w:marRight w:val="0"/>
          <w:marTop w:val="0"/>
          <w:marBottom w:val="0"/>
          <w:divBdr>
            <w:top w:val="none" w:sz="0" w:space="0" w:color="auto"/>
            <w:left w:val="none" w:sz="0" w:space="0" w:color="auto"/>
            <w:bottom w:val="none" w:sz="0" w:space="0" w:color="auto"/>
            <w:right w:val="none" w:sz="0" w:space="0" w:color="auto"/>
          </w:divBdr>
          <w:divsChild>
            <w:div w:id="610669257">
              <w:marLeft w:val="0"/>
              <w:marRight w:val="0"/>
              <w:marTop w:val="0"/>
              <w:marBottom w:val="0"/>
              <w:divBdr>
                <w:top w:val="none" w:sz="0" w:space="0" w:color="auto"/>
                <w:left w:val="none" w:sz="0" w:space="0" w:color="auto"/>
                <w:bottom w:val="none" w:sz="0" w:space="0" w:color="auto"/>
                <w:right w:val="none" w:sz="0" w:space="0" w:color="auto"/>
              </w:divBdr>
              <w:divsChild>
                <w:div w:id="428702379">
                  <w:marLeft w:val="3075"/>
                  <w:marRight w:val="0"/>
                  <w:marTop w:val="0"/>
                  <w:marBottom w:val="0"/>
                  <w:divBdr>
                    <w:top w:val="none" w:sz="0" w:space="0" w:color="auto"/>
                    <w:left w:val="none" w:sz="0" w:space="0" w:color="auto"/>
                    <w:bottom w:val="none" w:sz="0" w:space="0" w:color="auto"/>
                    <w:right w:val="none" w:sz="0" w:space="0" w:color="auto"/>
                  </w:divBdr>
                  <w:divsChild>
                    <w:div w:id="137309755">
                      <w:marLeft w:val="0"/>
                      <w:marRight w:val="0"/>
                      <w:marTop w:val="0"/>
                      <w:marBottom w:val="0"/>
                      <w:divBdr>
                        <w:top w:val="none" w:sz="0" w:space="0" w:color="auto"/>
                        <w:left w:val="none" w:sz="0" w:space="0" w:color="auto"/>
                        <w:bottom w:val="none" w:sz="0" w:space="0" w:color="auto"/>
                        <w:right w:val="none" w:sz="0" w:space="0" w:color="auto"/>
                      </w:divBdr>
                      <w:divsChild>
                        <w:div w:id="72144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0367842">
      <w:bodyDiv w:val="1"/>
      <w:marLeft w:val="0"/>
      <w:marRight w:val="0"/>
      <w:marTop w:val="0"/>
      <w:marBottom w:val="0"/>
      <w:divBdr>
        <w:top w:val="none" w:sz="0" w:space="0" w:color="auto"/>
        <w:left w:val="none" w:sz="0" w:space="0" w:color="auto"/>
        <w:bottom w:val="none" w:sz="0" w:space="0" w:color="auto"/>
        <w:right w:val="none" w:sz="0" w:space="0" w:color="auto"/>
      </w:divBdr>
      <w:divsChild>
        <w:div w:id="885530994">
          <w:marLeft w:val="0"/>
          <w:marRight w:val="0"/>
          <w:marTop w:val="0"/>
          <w:marBottom w:val="0"/>
          <w:divBdr>
            <w:top w:val="none" w:sz="0" w:space="0" w:color="auto"/>
            <w:left w:val="none" w:sz="0" w:space="0" w:color="auto"/>
            <w:bottom w:val="none" w:sz="0" w:space="0" w:color="auto"/>
            <w:right w:val="none" w:sz="0" w:space="0" w:color="auto"/>
          </w:divBdr>
          <w:divsChild>
            <w:div w:id="1864905629">
              <w:marLeft w:val="0"/>
              <w:marRight w:val="0"/>
              <w:marTop w:val="0"/>
              <w:marBottom w:val="0"/>
              <w:divBdr>
                <w:top w:val="none" w:sz="0" w:space="0" w:color="auto"/>
                <w:left w:val="none" w:sz="0" w:space="0" w:color="auto"/>
                <w:bottom w:val="none" w:sz="0" w:space="0" w:color="auto"/>
                <w:right w:val="none" w:sz="0" w:space="0" w:color="auto"/>
              </w:divBdr>
              <w:divsChild>
                <w:div w:id="1303731613">
                  <w:marLeft w:val="3075"/>
                  <w:marRight w:val="0"/>
                  <w:marTop w:val="0"/>
                  <w:marBottom w:val="0"/>
                  <w:divBdr>
                    <w:top w:val="none" w:sz="0" w:space="0" w:color="auto"/>
                    <w:left w:val="none" w:sz="0" w:space="0" w:color="auto"/>
                    <w:bottom w:val="none" w:sz="0" w:space="0" w:color="auto"/>
                    <w:right w:val="none" w:sz="0" w:space="0" w:color="auto"/>
                  </w:divBdr>
                  <w:divsChild>
                    <w:div w:id="729227425">
                      <w:marLeft w:val="0"/>
                      <w:marRight w:val="0"/>
                      <w:marTop w:val="0"/>
                      <w:marBottom w:val="0"/>
                      <w:divBdr>
                        <w:top w:val="none" w:sz="0" w:space="0" w:color="auto"/>
                        <w:left w:val="none" w:sz="0" w:space="0" w:color="auto"/>
                        <w:bottom w:val="none" w:sz="0" w:space="0" w:color="auto"/>
                        <w:right w:val="none" w:sz="0" w:space="0" w:color="auto"/>
                      </w:divBdr>
                      <w:divsChild>
                        <w:div w:id="214122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to.org/spanish/docs_s/legal_s/19-adp.pdf"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982</Words>
  <Characters>5404</Characters>
  <Application>Microsoft Office Word</Application>
  <DocSecurity>0</DocSecurity>
  <Lines>45</Lines>
  <Paragraphs>12</Paragraphs>
  <ScaleCrop>false</ScaleCrop>
  <Company>Windows uE</Company>
  <LinksUpToDate>false</LinksUpToDate>
  <CharactersWithSpaces>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17</cp:revision>
  <dcterms:created xsi:type="dcterms:W3CDTF">2012-04-05T20:21:00Z</dcterms:created>
  <dcterms:modified xsi:type="dcterms:W3CDTF">2012-04-05T20:34:00Z</dcterms:modified>
</cp:coreProperties>
</file>