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312" w:rsidRPr="00C258DE" w:rsidRDefault="00625312" w:rsidP="004E6DD9">
      <w:pPr>
        <w:rPr>
          <w:b/>
          <w:bCs/>
          <w:sz w:val="26"/>
          <w:szCs w:val="26"/>
          <w:lang w:val="es-ES_tradnl"/>
        </w:rPr>
      </w:pPr>
      <w:r w:rsidRPr="00C258DE">
        <w:rPr>
          <w:b/>
          <w:bCs/>
          <w:sz w:val="26"/>
          <w:szCs w:val="26"/>
          <w:lang w:val="es-ES_tradnl"/>
        </w:rPr>
        <w:t>Pregunta 1</w:t>
      </w:r>
    </w:p>
    <w:p w:rsidR="00625312" w:rsidRDefault="00625312" w:rsidP="004E6DD9">
      <w:pPr>
        <w:rPr>
          <w:lang w:val="es-ES_tradnl"/>
        </w:rPr>
      </w:pPr>
      <w:r>
        <w:rPr>
          <w:lang w:val="es-ES_tradnl"/>
        </w:rPr>
        <w:t xml:space="preserve">Sean los accionistas de una firma </w:t>
      </w:r>
      <w:r w:rsidRPr="001F299E">
        <w:rPr>
          <w:position w:val="-6"/>
          <w:lang w:val="es-ES_tradnl"/>
        </w:rPr>
        <w:object w:dxaOrig="1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pt;height:12.9pt" o:ole="">
            <v:imagedata r:id="rId5" o:title=""/>
          </v:shape>
          <o:OLEObject Type="Embed" ProgID="Equation.3" ShapeID="_x0000_i1025" DrawAspect="Content" ObjectID="_1340457652" r:id="rId6"/>
        </w:object>
      </w:r>
      <w:r>
        <w:rPr>
          <w:lang w:val="es-ES_tradnl"/>
        </w:rPr>
        <w:t xml:space="preserve">, los cuales aportaron una cantidad inicial igual a </w:t>
      </w:r>
      <w:r w:rsidRPr="001F299E">
        <w:rPr>
          <w:position w:val="-12"/>
          <w:lang w:val="es-ES_tradnl"/>
        </w:rPr>
        <w:object w:dxaOrig="279" w:dyaOrig="360">
          <v:shape id="_x0000_i1026" type="#_x0000_t75" style="width:14.25pt;height:18.35pt" o:ole="">
            <v:imagedata r:id="rId7" o:title=""/>
          </v:shape>
          <o:OLEObject Type="Embed" ProgID="Equation.3" ShapeID="_x0000_i1026" DrawAspect="Content" ObjectID="_1340457653" r:id="rId8"/>
        </w:object>
      </w:r>
      <w:r>
        <w:rPr>
          <w:lang w:val="es-ES_tradnl"/>
        </w:rPr>
        <w:t xml:space="preserve"> a la firma con el objetivo de obtener un flujo esperado en un año más equivalente a </w:t>
      </w:r>
      <w:r w:rsidRPr="00A25856">
        <w:rPr>
          <w:position w:val="-12"/>
          <w:lang w:val="es-ES_tradnl"/>
        </w:rPr>
        <w:object w:dxaOrig="320" w:dyaOrig="360">
          <v:shape id="_x0000_i1027" type="#_x0000_t75" style="width:15.6pt;height:18.35pt" o:ole="">
            <v:imagedata r:id="rId9" o:title=""/>
          </v:shape>
          <o:OLEObject Type="Embed" ProgID="Equation.3" ShapeID="_x0000_i1027" DrawAspect="Content" ObjectID="_1340457654" r:id="rId10"/>
        </w:object>
      </w:r>
      <w:r>
        <w:rPr>
          <w:lang w:val="es-ES_tradnl"/>
        </w:rPr>
        <w:t>. Si cada uno de los flujos futuros de esta empresa proviene de su operación, entonces será posible mostrar que si la firma no se encuentra maximizando su valor presente, entonces la frontera de mínima varianza de la economía podría ser potencialmente expandida. Para esto se le pide:</w:t>
      </w:r>
    </w:p>
    <w:p w:rsidR="00625312" w:rsidRPr="00D059DC" w:rsidRDefault="00625312" w:rsidP="004E6DD9">
      <w:pPr>
        <w:pStyle w:val="Prrafodelista"/>
        <w:numPr>
          <w:ilvl w:val="0"/>
          <w:numId w:val="1"/>
        </w:numPr>
        <w:rPr>
          <w:rFonts w:cs="Times New Roman"/>
          <w:lang w:val="es-ES_tradnl"/>
        </w:rPr>
      </w:pPr>
      <w:r>
        <w:rPr>
          <w:lang w:val="es-ES_tradnl"/>
        </w:rPr>
        <w:t xml:space="preserve">Escriba el retorno esperado por los accionistas de la firma </w:t>
      </w:r>
      <w:r w:rsidRPr="001F299E">
        <w:rPr>
          <w:rFonts w:cs="Times New Roman"/>
          <w:position w:val="-6"/>
          <w:lang w:val="es-ES_tradnl"/>
        </w:rPr>
        <w:object w:dxaOrig="139" w:dyaOrig="260">
          <v:shape id="_x0000_i1028" type="#_x0000_t75" style="width:6.8pt;height:12.9pt" o:ole="">
            <v:imagedata r:id="rId5" o:title=""/>
          </v:shape>
          <o:OLEObject Type="Embed" ProgID="Equation.3" ShapeID="_x0000_i1028" DrawAspect="Content" ObjectID="_1340457655" r:id="rId11"/>
        </w:object>
      </w:r>
      <w:r>
        <w:rPr>
          <w:lang w:val="es-ES_tradnl"/>
        </w:rPr>
        <w:t>. Si los flujos esperados por los accionistas (</w:t>
      </w:r>
      <w:r w:rsidRPr="00A25856">
        <w:rPr>
          <w:rFonts w:cs="Times New Roman"/>
          <w:position w:val="-12"/>
          <w:lang w:val="es-ES_tradnl"/>
        </w:rPr>
        <w:object w:dxaOrig="320" w:dyaOrig="360">
          <v:shape id="_x0000_i1029" type="#_x0000_t75" style="width:15.6pt;height:18.35pt" o:ole="">
            <v:imagedata r:id="rId12" o:title=""/>
          </v:shape>
          <o:OLEObject Type="Embed" ProgID="Equation.3" ShapeID="_x0000_i1029" DrawAspect="Content" ObjectID="_1340457656" r:id="rId13"/>
        </w:object>
      </w:r>
      <w:r>
        <w:rPr>
          <w:lang w:val="es-ES_tradnl"/>
        </w:rPr>
        <w:t>) son descontados a esta tasa de descuento ¿Cuál es el valor presente de la inversión total realizada por estos? Comente.</w:t>
      </w:r>
    </w:p>
    <w:p w:rsidR="00625312" w:rsidRDefault="00625312" w:rsidP="004E6DD9">
      <w:pPr>
        <w:pStyle w:val="Prrafodelista"/>
        <w:numPr>
          <w:ilvl w:val="0"/>
          <w:numId w:val="1"/>
        </w:numPr>
        <w:rPr>
          <w:lang w:val="es-ES_tradnl"/>
        </w:rPr>
      </w:pPr>
      <w:r>
        <w:rPr>
          <w:lang w:val="es-ES_tradnl"/>
        </w:rPr>
        <w:t>Suponga que el retorno de la pregunta anterior cumple CAPM. Muestre que el beta (</w:t>
      </w:r>
      <w:r w:rsidRPr="001F299E">
        <w:rPr>
          <w:rFonts w:cs="Times New Roman"/>
          <w:position w:val="-10"/>
          <w:lang w:val="es-ES_tradnl"/>
        </w:rPr>
        <w:object w:dxaOrig="240" w:dyaOrig="320">
          <v:shape id="_x0000_i1030" type="#_x0000_t75" style="width:12.25pt;height:15.6pt" o:ole="">
            <v:imagedata r:id="rId14" o:title=""/>
          </v:shape>
          <o:OLEObject Type="Embed" ProgID="Equation.3" ShapeID="_x0000_i1030" DrawAspect="Content" ObjectID="_1340457657" r:id="rId15"/>
        </w:object>
      </w:r>
      <w:r>
        <w:rPr>
          <w:lang w:val="es-ES_tradnl"/>
        </w:rPr>
        <w:t xml:space="preserve">) de la firma </w:t>
      </w:r>
      <w:r w:rsidRPr="001F299E">
        <w:rPr>
          <w:rFonts w:cs="Times New Roman"/>
          <w:position w:val="-6"/>
          <w:lang w:val="es-ES_tradnl"/>
        </w:rPr>
        <w:object w:dxaOrig="139" w:dyaOrig="260">
          <v:shape id="_x0000_i1031" type="#_x0000_t75" style="width:6.8pt;height:12.9pt" o:ole="">
            <v:imagedata r:id="rId5" o:title=""/>
          </v:shape>
          <o:OLEObject Type="Embed" ProgID="Equation.3" ShapeID="_x0000_i1031" DrawAspect="Content" ObjectID="_1340457658" r:id="rId16"/>
        </w:object>
      </w:r>
      <w:r>
        <w:rPr>
          <w:lang w:val="es-ES_tradnl"/>
        </w:rPr>
        <w:t xml:space="preserve"> cumple  </w:t>
      </w:r>
      <w:r w:rsidRPr="00A25856">
        <w:rPr>
          <w:rFonts w:cs="Times New Roman"/>
          <w:position w:val="-12"/>
          <w:lang w:val="es-ES_tradnl"/>
        </w:rPr>
        <w:object w:dxaOrig="2079" w:dyaOrig="380">
          <v:shape id="_x0000_i1032" type="#_x0000_t75" style="width:103.9pt;height:19pt" o:ole="">
            <v:imagedata r:id="rId17" o:title=""/>
          </v:shape>
          <o:OLEObject Type="Embed" ProgID="Equation.3" ShapeID="_x0000_i1032" DrawAspect="Content" ObjectID="_1340457659" r:id="rId18"/>
        </w:object>
      </w:r>
      <w:r>
        <w:rPr>
          <w:lang w:val="es-ES_tradnl"/>
        </w:rPr>
        <w:t xml:space="preserve">, con </w:t>
      </w:r>
      <w:r w:rsidRPr="00D059DC">
        <w:rPr>
          <w:rFonts w:cs="Times New Roman"/>
          <w:position w:val="-12"/>
          <w:lang w:val="es-ES_tradnl"/>
        </w:rPr>
        <w:object w:dxaOrig="260" w:dyaOrig="360">
          <v:shape id="_x0000_i1033" type="#_x0000_t75" style="width:12.9pt;height:18.35pt" o:ole="">
            <v:imagedata r:id="rId19" o:title=""/>
          </v:shape>
          <o:OLEObject Type="Embed" ProgID="Equation.3" ShapeID="_x0000_i1033" DrawAspect="Content" ObjectID="_1340457660" r:id="rId20"/>
        </w:object>
      </w:r>
      <w:r>
        <w:rPr>
          <w:lang w:val="es-ES_tradnl"/>
        </w:rPr>
        <w:t xml:space="preserve"> el retorno del portafolio de mercado.</w:t>
      </w:r>
    </w:p>
    <w:p w:rsidR="00625312" w:rsidRPr="007B3261" w:rsidRDefault="00625312" w:rsidP="004E6DD9">
      <w:pPr>
        <w:pStyle w:val="Prrafodelista"/>
        <w:numPr>
          <w:ilvl w:val="0"/>
          <w:numId w:val="1"/>
        </w:numPr>
        <w:rPr>
          <w:rFonts w:cs="Times New Roman"/>
          <w:lang w:val="es-ES_tradnl"/>
        </w:rPr>
      </w:pPr>
      <w:r w:rsidRPr="007B3261">
        <w:rPr>
          <w:lang w:val="es-ES_tradnl"/>
        </w:rPr>
        <w:t>Escriba la inversión realizada por los accionistas como un bono cero cupón y muestre que bajo la condición de no arbitraje se debe satisfacer</w:t>
      </w:r>
      <w:r>
        <w:rPr>
          <w:lang w:val="es-ES_tradnl"/>
        </w:rPr>
        <w:t xml:space="preserve"> </w:t>
      </w:r>
      <w:r w:rsidRPr="00CE10A6">
        <w:rPr>
          <w:rFonts w:cs="Times New Roman"/>
          <w:position w:val="-32"/>
          <w:lang w:val="es-ES_tradnl"/>
        </w:rPr>
        <w:object w:dxaOrig="2380" w:dyaOrig="720">
          <v:shape id="_x0000_i1034" type="#_x0000_t75" style="width:117.5pt;height:36pt" o:ole="">
            <v:imagedata r:id="rId21" o:title=""/>
          </v:shape>
          <o:OLEObject Type="Embed" ProgID="Equation.3" ShapeID="_x0000_i1034" DrawAspect="Content" ObjectID="_1340457661" r:id="rId22"/>
        </w:object>
      </w:r>
      <w:r>
        <w:rPr>
          <w:lang w:val="es-ES_tradnl"/>
        </w:rPr>
        <w:t xml:space="preserve"> donde </w:t>
      </w:r>
      <w:r w:rsidRPr="0015782C">
        <w:rPr>
          <w:rFonts w:cs="Times New Roman"/>
          <w:position w:val="-32"/>
          <w:lang w:val="es-ES"/>
        </w:rPr>
        <w:object w:dxaOrig="3480" w:dyaOrig="760">
          <v:shape id="_x0000_i1035" type="#_x0000_t75" style="width:172.55pt;height:38.05pt" o:ole="">
            <v:imagedata r:id="rId23" o:title=""/>
          </v:shape>
          <o:OLEObject Type="Embed" ProgID="Equation.3" ShapeID="_x0000_i1035" DrawAspect="Content" ObjectID="_1340457662" r:id="rId24"/>
        </w:object>
      </w:r>
      <w:r w:rsidRPr="007B3261">
        <w:rPr>
          <w:lang w:val="es-MX"/>
        </w:rPr>
        <w:t xml:space="preserve">. </w:t>
      </w:r>
      <w:r>
        <w:rPr>
          <w:lang w:val="es-MX"/>
        </w:rPr>
        <w:t xml:space="preserve">Interprete </w:t>
      </w:r>
      <w:r w:rsidRPr="00A25856">
        <w:rPr>
          <w:rFonts w:cs="Times New Roman"/>
          <w:position w:val="-12"/>
        </w:rPr>
        <w:object w:dxaOrig="639" w:dyaOrig="360">
          <v:shape id="_x0000_i1036" type="#_x0000_t75" style="width:31.25pt;height:18.35pt" o:ole="">
            <v:imagedata r:id="rId25" o:title=""/>
          </v:shape>
          <o:OLEObject Type="Embed" ProgID="Equation.3" ShapeID="_x0000_i1036" DrawAspect="Content" ObjectID="_1340457663" r:id="rId26"/>
        </w:object>
      </w:r>
      <w:r w:rsidRPr="00A25856">
        <w:rPr>
          <w:lang w:val="es-MX"/>
        </w:rPr>
        <w:t>.</w:t>
      </w:r>
    </w:p>
    <w:p w:rsidR="00625312" w:rsidRPr="007B3261" w:rsidRDefault="00625312" w:rsidP="004E6DD9">
      <w:pPr>
        <w:pStyle w:val="Prrafodelista"/>
        <w:ind w:left="360"/>
        <w:rPr>
          <w:rFonts w:cs="Times New Roman"/>
          <w:lang w:val="es-ES_tradnl"/>
        </w:rPr>
      </w:pPr>
    </w:p>
    <w:p w:rsidR="00625312" w:rsidRDefault="00625312" w:rsidP="004E6DD9">
      <w:pPr>
        <w:pStyle w:val="Prrafodelista"/>
        <w:numPr>
          <w:ilvl w:val="0"/>
          <w:numId w:val="1"/>
        </w:numPr>
        <w:rPr>
          <w:rFonts w:cs="Times New Roman"/>
          <w:lang w:val="es-ES_tradnl"/>
        </w:rPr>
      </w:pPr>
      <w:r>
        <w:rPr>
          <w:lang w:val="es-ES_tradnl"/>
        </w:rPr>
        <w:t xml:space="preserve">Suponga que los administradores deciden maximizar el valor presente de la empresa, es decir </w:t>
      </w:r>
      <w:r w:rsidRPr="00CE10A6">
        <w:rPr>
          <w:rFonts w:cs="Times New Roman"/>
          <w:position w:val="-32"/>
          <w:lang w:val="es-ES_tradnl"/>
        </w:rPr>
        <w:object w:dxaOrig="1960" w:dyaOrig="720">
          <v:shape id="_x0000_i1037" type="#_x0000_t75" style="width:96.45pt;height:36pt" o:ole="">
            <v:imagedata r:id="rId27" o:title=""/>
          </v:shape>
          <o:OLEObject Type="Embed" ProgID="Equation.3" ShapeID="_x0000_i1037" DrawAspect="Content" ObjectID="_1340457664" r:id="rId28"/>
        </w:object>
      </w:r>
      <w:r>
        <w:rPr>
          <w:lang w:val="es-ES_tradnl"/>
        </w:rPr>
        <w:t xml:space="preserve"> donde </w:t>
      </w:r>
      <w:r w:rsidRPr="00A25856">
        <w:rPr>
          <w:rFonts w:cs="Times New Roman"/>
          <w:position w:val="-10"/>
          <w:lang w:val="es-ES_tradnl"/>
        </w:rPr>
        <w:object w:dxaOrig="300" w:dyaOrig="340">
          <v:shape id="_x0000_i1038" type="#_x0000_t75" style="width:14.95pt;height:17pt" o:ole="">
            <v:imagedata r:id="rId29" o:title=""/>
          </v:shape>
          <o:OLEObject Type="Embed" ProgID="Equation.3" ShapeID="_x0000_i1038" DrawAspect="Content" ObjectID="_1340457665" r:id="rId30"/>
        </w:object>
      </w:r>
      <w:r>
        <w:rPr>
          <w:lang w:val="es-ES_tradnl"/>
        </w:rPr>
        <w:t xml:space="preserve">corresponde a los nuevos flujos generados. Muestre que </w:t>
      </w:r>
      <w:r w:rsidRPr="00321D0B">
        <w:rPr>
          <w:rFonts w:cs="Times New Roman"/>
          <w:position w:val="-14"/>
          <w:lang w:val="es-ES"/>
        </w:rPr>
        <w:object w:dxaOrig="4380" w:dyaOrig="400">
          <v:shape id="_x0000_i1039" type="#_x0000_t75" style="width:216.7pt;height:19.7pt" o:ole="">
            <v:imagedata r:id="rId31" o:title=""/>
          </v:shape>
          <o:OLEObject Type="Embed" ProgID="Equation.3" ShapeID="_x0000_i1039" DrawAspect="Content" ObjectID="_1340457666" r:id="rId32"/>
        </w:object>
      </w:r>
      <w:r>
        <w:rPr>
          <w:lang w:val="es-MX"/>
        </w:rPr>
        <w:t xml:space="preserve">. Con </w:t>
      </w:r>
      <w:r w:rsidRPr="00194BA2">
        <w:rPr>
          <w:rFonts w:cs="Times New Roman"/>
          <w:position w:val="-10"/>
          <w:lang w:val="es-ES"/>
        </w:rPr>
        <w:object w:dxaOrig="600" w:dyaOrig="340">
          <v:shape id="_x0000_i1040" type="#_x0000_t75" style="width:29.9pt;height:17pt" o:ole="">
            <v:imagedata r:id="rId33" o:title=""/>
          </v:shape>
          <o:OLEObject Type="Embed" ProgID="Equation.3" ShapeID="_x0000_i1040" DrawAspect="Content" ObjectID="_1340457667" r:id="rId34"/>
        </w:object>
      </w:r>
      <w:r w:rsidRPr="00194BA2">
        <w:rPr>
          <w:lang w:val="es-MX"/>
        </w:rPr>
        <w:t xml:space="preserve"> igual al </w:t>
      </w:r>
      <w:r>
        <w:rPr>
          <w:lang w:val="es-MX"/>
        </w:rPr>
        <w:t>n</w:t>
      </w:r>
      <w:r w:rsidRPr="00194BA2">
        <w:rPr>
          <w:lang w:val="es-MX"/>
        </w:rPr>
        <w:t>uevo retorno de los accionistas.</w:t>
      </w:r>
    </w:p>
    <w:p w:rsidR="00625312" w:rsidRPr="00A25856" w:rsidRDefault="00625312" w:rsidP="004E6DD9">
      <w:pPr>
        <w:pStyle w:val="Prrafodelista"/>
        <w:rPr>
          <w:rFonts w:cs="Times New Roman"/>
          <w:lang w:val="es-ES_tradnl"/>
        </w:rPr>
      </w:pPr>
    </w:p>
    <w:p w:rsidR="00625312" w:rsidRPr="00C258DE" w:rsidRDefault="00625312" w:rsidP="004E6DD9">
      <w:pPr>
        <w:pStyle w:val="Prrafodelista"/>
        <w:numPr>
          <w:ilvl w:val="0"/>
          <w:numId w:val="1"/>
        </w:numPr>
        <w:rPr>
          <w:rFonts w:cs="Times New Roman"/>
          <w:lang w:val="es-ES_tradnl"/>
        </w:rPr>
      </w:pPr>
      <w:r w:rsidRPr="00C258DE">
        <w:rPr>
          <w:lang w:val="es-ES_tradnl"/>
        </w:rPr>
        <w:t xml:space="preserve">Sea el portafolio </w:t>
      </w:r>
      <w:r w:rsidRPr="002C6EF6">
        <w:rPr>
          <w:rFonts w:cs="Times New Roman"/>
          <w:position w:val="-12"/>
          <w:lang w:val="es-ES"/>
        </w:rPr>
        <w:object w:dxaOrig="1300" w:dyaOrig="360">
          <v:shape id="_x0000_i1041" type="#_x0000_t75" style="width:65.2pt;height:18.35pt" o:ole="">
            <v:imagedata r:id="rId35" o:title=""/>
          </v:shape>
          <o:OLEObject Type="Embed" ProgID="Equation.3" ShapeID="_x0000_i1041" DrawAspect="Content" ObjectID="_1340457668" r:id="rId36"/>
        </w:object>
      </w:r>
      <w:r w:rsidRPr="00C258DE">
        <w:rPr>
          <w:lang w:val="es-MX"/>
        </w:rPr>
        <w:t xml:space="preserve"> donde </w:t>
      </w:r>
      <w:r w:rsidRPr="0015782C">
        <w:rPr>
          <w:rFonts w:cs="Times New Roman"/>
          <w:position w:val="-12"/>
          <w:lang w:val="es-ES"/>
        </w:rPr>
        <w:object w:dxaOrig="1780" w:dyaOrig="360">
          <v:shape id="_x0000_i1042" type="#_x0000_t75" style="width:89pt;height:18.35pt" o:ole="">
            <v:imagedata r:id="rId37" o:title=""/>
          </v:shape>
          <o:OLEObject Type="Embed" ProgID="Equation.3" ShapeID="_x0000_i1042" DrawAspect="Content" ObjectID="_1340457669" r:id="rId38"/>
        </w:object>
      </w:r>
      <w:r w:rsidRPr="00C258DE">
        <w:rPr>
          <w:lang w:val="es-MX"/>
        </w:rPr>
        <w:t xml:space="preserve"> Interprete </w:t>
      </w:r>
      <w:r w:rsidRPr="002C6EF6">
        <w:rPr>
          <w:rFonts w:cs="Times New Roman"/>
          <w:position w:val="-30"/>
          <w:lang w:val="es-ES"/>
        </w:rPr>
        <w:object w:dxaOrig="1760" w:dyaOrig="720">
          <v:shape id="_x0000_i1043" type="#_x0000_t75" style="width:87.6pt;height:36pt" o:ole="">
            <v:imagedata r:id="rId39" o:title=""/>
          </v:shape>
          <o:OLEObject Type="Embed" ProgID="Equation.3" ShapeID="_x0000_i1043" DrawAspect="Content" ObjectID="_1340457670" r:id="rId40"/>
        </w:object>
      </w:r>
      <w:r w:rsidRPr="00C258DE">
        <w:rPr>
          <w:lang w:val="es-MX"/>
        </w:rPr>
        <w:t xml:space="preserve"> y.</w:t>
      </w:r>
    </w:p>
    <w:p w:rsidR="00625312" w:rsidRPr="00161AAE" w:rsidRDefault="00625312" w:rsidP="004E6DD9">
      <w:pPr>
        <w:pStyle w:val="Prrafodelista"/>
        <w:numPr>
          <w:ilvl w:val="0"/>
          <w:numId w:val="1"/>
        </w:numPr>
        <w:rPr>
          <w:rFonts w:cs="Times New Roman"/>
          <w:b/>
          <w:bCs/>
          <w:sz w:val="28"/>
          <w:szCs w:val="28"/>
          <w:lang w:val="es-ES_tradnl"/>
        </w:rPr>
      </w:pPr>
      <w:r w:rsidRPr="00161AAE">
        <w:rPr>
          <w:lang w:val="es-ES_tradnl"/>
        </w:rPr>
        <w:t xml:space="preserve"> </w:t>
      </w:r>
      <w:r w:rsidRPr="00161AAE">
        <w:rPr>
          <w:lang w:val="es-MX"/>
        </w:rPr>
        <w:t xml:space="preserve">Muestre que </w:t>
      </w:r>
      <w:r w:rsidRPr="00C258DE">
        <w:rPr>
          <w:rFonts w:cs="Times New Roman"/>
          <w:position w:val="-32"/>
        </w:rPr>
        <w:object w:dxaOrig="1780" w:dyaOrig="740">
          <v:shape id="_x0000_i1044" type="#_x0000_t75" style="width:89pt;height:36.7pt" o:ole="">
            <v:imagedata r:id="rId41" o:title=""/>
          </v:shape>
          <o:OLEObject Type="Embed" ProgID="Equation.3" ShapeID="_x0000_i1044" DrawAspect="Content" ObjectID="_1340457671" r:id="rId42"/>
        </w:object>
      </w:r>
      <w:r w:rsidRPr="00161AAE">
        <w:rPr>
          <w:lang w:val="es-MX"/>
        </w:rPr>
        <w:t>. Comente</w:t>
      </w:r>
      <w:r>
        <w:rPr>
          <w:lang w:val="es-MX"/>
        </w:rPr>
        <w:t>.</w:t>
      </w:r>
      <w:r w:rsidRPr="00161AAE">
        <w:rPr>
          <w:rFonts w:cs="Times New Roman"/>
          <w:b/>
          <w:bCs/>
          <w:sz w:val="28"/>
          <w:szCs w:val="28"/>
          <w:lang w:val="es-ES_tradnl"/>
        </w:rPr>
        <w:br w:type="page"/>
      </w:r>
    </w:p>
    <w:p w:rsidR="00625312" w:rsidRDefault="00625312" w:rsidP="004E6DD9">
      <w:pPr>
        <w:pStyle w:val="Prrafodelista"/>
        <w:rPr>
          <w:rFonts w:cs="Times New Roman"/>
          <w:lang w:val="es-ES_tradnl"/>
        </w:rPr>
      </w:pPr>
    </w:p>
    <w:p w:rsidR="00625312" w:rsidRPr="00C258DE" w:rsidRDefault="00625312" w:rsidP="004E6DD9">
      <w:pPr>
        <w:rPr>
          <w:rFonts w:ascii="Tahoma" w:hAnsi="Tahoma" w:cs="Tahoma"/>
          <w:b/>
          <w:bCs/>
          <w:lang w:val="es-MX"/>
        </w:rPr>
      </w:pPr>
      <w:r w:rsidRPr="00C258DE">
        <w:rPr>
          <w:rFonts w:ascii="Tahoma" w:hAnsi="Tahoma" w:cs="Tahoma"/>
          <w:b/>
          <w:bCs/>
          <w:lang w:val="es-MX"/>
        </w:rPr>
        <w:t xml:space="preserve">Pregunta 2 </w:t>
      </w:r>
    </w:p>
    <w:p w:rsidR="00625312" w:rsidRPr="00C258DE" w:rsidRDefault="00625312" w:rsidP="004E6DD9">
      <w:pPr>
        <w:spacing w:after="0"/>
        <w:rPr>
          <w:rFonts w:ascii="Tahoma" w:hAnsi="Tahoma" w:cs="Tahoma"/>
          <w:b/>
          <w:bCs/>
          <w:lang w:val="es-MX"/>
        </w:rPr>
      </w:pPr>
    </w:p>
    <w:p w:rsidR="00625312" w:rsidRPr="00C258DE" w:rsidRDefault="00625312" w:rsidP="004E6DD9">
      <w:pPr>
        <w:jc w:val="both"/>
        <w:rPr>
          <w:spacing w:val="2"/>
          <w:lang w:val="es-MX"/>
        </w:rPr>
      </w:pPr>
      <w:r w:rsidRPr="00C258DE">
        <w:rPr>
          <w:spacing w:val="2"/>
          <w:lang w:val="es-MX"/>
        </w:rPr>
        <w:t>1. Dada la siguiente estructura de tasa (compuesta ACT/360)</w:t>
      </w:r>
    </w:p>
    <w:tbl>
      <w:tblPr>
        <w:tblW w:w="6106" w:type="dxa"/>
        <w:jc w:val="center"/>
        <w:tblInd w:w="60" w:type="dxa"/>
        <w:tblCellMar>
          <w:left w:w="70" w:type="dxa"/>
          <w:right w:w="70" w:type="dxa"/>
        </w:tblCellMar>
        <w:tblLook w:val="00A0"/>
      </w:tblPr>
      <w:tblGrid>
        <w:gridCol w:w="1340"/>
        <w:gridCol w:w="688"/>
        <w:gridCol w:w="688"/>
        <w:gridCol w:w="838"/>
        <w:gridCol w:w="851"/>
        <w:gridCol w:w="850"/>
        <w:gridCol w:w="851"/>
      </w:tblGrid>
      <w:tr w:rsidR="00625312" w:rsidRPr="009161E9">
        <w:trPr>
          <w:trHeight w:val="210"/>
          <w:jc w:val="center"/>
        </w:trPr>
        <w:tc>
          <w:tcPr>
            <w:tcW w:w="1340" w:type="dxa"/>
            <w:tcBorders>
              <w:top w:val="single" w:sz="8" w:space="0" w:color="auto"/>
              <w:left w:val="single" w:sz="8" w:space="0" w:color="auto"/>
              <w:bottom w:val="single" w:sz="4" w:space="0" w:color="auto"/>
              <w:right w:val="single" w:sz="8"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Plazo</w:t>
            </w:r>
          </w:p>
        </w:tc>
        <w:tc>
          <w:tcPr>
            <w:tcW w:w="688" w:type="dxa"/>
            <w:tcBorders>
              <w:top w:val="single" w:sz="8" w:space="0" w:color="auto"/>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0.5</w:t>
            </w:r>
          </w:p>
        </w:tc>
        <w:tc>
          <w:tcPr>
            <w:tcW w:w="688" w:type="dxa"/>
            <w:tcBorders>
              <w:top w:val="single" w:sz="8" w:space="0" w:color="auto"/>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 xml:space="preserve">1.0 </w:t>
            </w:r>
          </w:p>
        </w:tc>
        <w:tc>
          <w:tcPr>
            <w:tcW w:w="838" w:type="dxa"/>
            <w:tcBorders>
              <w:top w:val="single" w:sz="8" w:space="0" w:color="auto"/>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 xml:space="preserve">1.5 </w:t>
            </w:r>
          </w:p>
        </w:tc>
        <w:tc>
          <w:tcPr>
            <w:tcW w:w="851" w:type="dxa"/>
            <w:tcBorders>
              <w:top w:val="single" w:sz="8" w:space="0" w:color="auto"/>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 xml:space="preserve">2.0 </w:t>
            </w:r>
          </w:p>
        </w:tc>
        <w:tc>
          <w:tcPr>
            <w:tcW w:w="850" w:type="dxa"/>
            <w:tcBorders>
              <w:top w:val="single" w:sz="8" w:space="0" w:color="auto"/>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 xml:space="preserve">2.5 </w:t>
            </w:r>
          </w:p>
        </w:tc>
        <w:tc>
          <w:tcPr>
            <w:tcW w:w="851" w:type="dxa"/>
            <w:tcBorders>
              <w:top w:val="single" w:sz="8" w:space="0" w:color="auto"/>
              <w:left w:val="nil"/>
              <w:bottom w:val="single" w:sz="4" w:space="0" w:color="auto"/>
              <w:right w:val="single" w:sz="8"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 xml:space="preserve"> 3.0 </w:t>
            </w:r>
          </w:p>
        </w:tc>
      </w:tr>
      <w:tr w:rsidR="00625312" w:rsidRPr="009161E9">
        <w:trPr>
          <w:trHeight w:val="315"/>
          <w:jc w:val="center"/>
        </w:trPr>
        <w:tc>
          <w:tcPr>
            <w:tcW w:w="1340" w:type="dxa"/>
            <w:tcBorders>
              <w:top w:val="nil"/>
              <w:left w:val="single" w:sz="8" w:space="0" w:color="auto"/>
              <w:bottom w:val="single" w:sz="8" w:space="0" w:color="auto"/>
              <w:right w:val="single" w:sz="8" w:space="0" w:color="auto"/>
            </w:tcBorders>
            <w:shd w:val="clear" w:color="000000" w:fill="FFFFFF"/>
            <w:noWrap/>
            <w:vAlign w:val="bottom"/>
          </w:tcPr>
          <w:p w:rsidR="00625312" w:rsidRPr="009161E9" w:rsidRDefault="00625312" w:rsidP="0015782C">
            <w:pPr>
              <w:autoSpaceDE w:val="0"/>
              <w:autoSpaceDN w:val="0"/>
              <w:adjustRightInd w:val="0"/>
              <w:spacing w:after="0"/>
              <w:ind w:right="-20"/>
              <w:rPr>
                <w:b/>
                <w:bCs/>
                <w:spacing w:val="2"/>
                <w:sz w:val="20"/>
                <w:szCs w:val="20"/>
                <w:lang w:val="es-ES"/>
              </w:rPr>
            </w:pPr>
            <w:r w:rsidRPr="009161E9">
              <w:rPr>
                <w:b/>
                <w:bCs/>
                <w:spacing w:val="2"/>
                <w:sz w:val="20"/>
                <w:szCs w:val="20"/>
                <w:lang w:val="es-ES"/>
              </w:rPr>
              <w:t>Tasa Cero $</w:t>
            </w:r>
          </w:p>
        </w:tc>
        <w:tc>
          <w:tcPr>
            <w:tcW w:w="688" w:type="dxa"/>
            <w:tcBorders>
              <w:top w:val="nil"/>
              <w:left w:val="nil"/>
              <w:bottom w:val="single" w:sz="8"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3.00%</w:t>
            </w:r>
          </w:p>
        </w:tc>
        <w:tc>
          <w:tcPr>
            <w:tcW w:w="688" w:type="dxa"/>
            <w:tcBorders>
              <w:top w:val="nil"/>
              <w:left w:val="nil"/>
              <w:bottom w:val="single" w:sz="8"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3.55%</w:t>
            </w:r>
          </w:p>
        </w:tc>
        <w:tc>
          <w:tcPr>
            <w:tcW w:w="838" w:type="dxa"/>
            <w:tcBorders>
              <w:top w:val="nil"/>
              <w:left w:val="nil"/>
              <w:bottom w:val="single" w:sz="8"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4.64%</w:t>
            </w:r>
          </w:p>
        </w:tc>
        <w:tc>
          <w:tcPr>
            <w:tcW w:w="851" w:type="dxa"/>
            <w:tcBorders>
              <w:top w:val="nil"/>
              <w:left w:val="nil"/>
              <w:bottom w:val="single" w:sz="8"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5.67%</w:t>
            </w:r>
          </w:p>
        </w:tc>
        <w:tc>
          <w:tcPr>
            <w:tcW w:w="850" w:type="dxa"/>
            <w:tcBorders>
              <w:top w:val="nil"/>
              <w:left w:val="nil"/>
              <w:bottom w:val="single" w:sz="8"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6.27%</w:t>
            </w:r>
          </w:p>
        </w:tc>
        <w:tc>
          <w:tcPr>
            <w:tcW w:w="851" w:type="dxa"/>
            <w:tcBorders>
              <w:top w:val="nil"/>
              <w:left w:val="nil"/>
              <w:bottom w:val="single" w:sz="8" w:space="0" w:color="auto"/>
              <w:right w:val="single" w:sz="8" w:space="0" w:color="auto"/>
            </w:tcBorders>
            <w:shd w:val="clear" w:color="000000" w:fill="FFFFFF"/>
            <w:noWrap/>
            <w:vAlign w:val="bottom"/>
          </w:tcPr>
          <w:p w:rsidR="00625312" w:rsidRPr="009161E9" w:rsidRDefault="00625312" w:rsidP="0015782C">
            <w:pPr>
              <w:autoSpaceDE w:val="0"/>
              <w:autoSpaceDN w:val="0"/>
              <w:adjustRightInd w:val="0"/>
              <w:spacing w:after="0"/>
              <w:ind w:right="-20"/>
              <w:rPr>
                <w:spacing w:val="2"/>
                <w:sz w:val="20"/>
                <w:szCs w:val="20"/>
                <w:lang w:val="es-ES"/>
              </w:rPr>
            </w:pPr>
            <w:r w:rsidRPr="009161E9">
              <w:rPr>
                <w:spacing w:val="2"/>
                <w:sz w:val="20"/>
                <w:szCs w:val="20"/>
                <w:lang w:val="es-ES"/>
              </w:rPr>
              <w:t>6.30%</w:t>
            </w:r>
          </w:p>
        </w:tc>
      </w:tr>
    </w:tbl>
    <w:p w:rsidR="00625312" w:rsidRDefault="00625312" w:rsidP="004E6DD9">
      <w:pPr>
        <w:pStyle w:val="Prrafodelista"/>
        <w:widowControl w:val="0"/>
        <w:spacing w:after="0" w:line="240" w:lineRule="auto"/>
        <w:jc w:val="both"/>
        <w:rPr>
          <w:rFonts w:cs="Times New Roman"/>
          <w:spacing w:val="2"/>
        </w:rPr>
      </w:pPr>
    </w:p>
    <w:p w:rsidR="00625312" w:rsidRDefault="00625312" w:rsidP="004E6DD9">
      <w:pPr>
        <w:pStyle w:val="Prrafodelista"/>
        <w:widowControl w:val="0"/>
        <w:spacing w:after="0" w:line="240" w:lineRule="auto"/>
        <w:jc w:val="both"/>
        <w:rPr>
          <w:rFonts w:cs="Times New Roman"/>
          <w:spacing w:val="2"/>
        </w:rPr>
      </w:pPr>
    </w:p>
    <w:p w:rsidR="00625312" w:rsidRPr="00C258DE" w:rsidRDefault="00625312" w:rsidP="004E6DD9">
      <w:pPr>
        <w:pStyle w:val="Prrafodelista"/>
        <w:widowControl w:val="0"/>
        <w:numPr>
          <w:ilvl w:val="0"/>
          <w:numId w:val="2"/>
        </w:numPr>
        <w:spacing w:after="0" w:line="240" w:lineRule="auto"/>
        <w:jc w:val="both"/>
        <w:rPr>
          <w:spacing w:val="2"/>
          <w:lang w:val="es-MX"/>
        </w:rPr>
      </w:pPr>
      <w:r w:rsidRPr="00C258DE">
        <w:rPr>
          <w:spacing w:val="2"/>
          <w:lang w:val="es-MX"/>
        </w:rPr>
        <w:t>Estructure un Swap (</w:t>
      </w:r>
      <w:proofErr w:type="spellStart"/>
      <w:r w:rsidRPr="00C258DE">
        <w:rPr>
          <w:i/>
          <w:iCs/>
          <w:spacing w:val="2"/>
          <w:lang w:val="es-MX"/>
        </w:rPr>
        <w:t>plain</w:t>
      </w:r>
      <w:proofErr w:type="spellEnd"/>
      <w:r w:rsidRPr="00C258DE">
        <w:rPr>
          <w:i/>
          <w:iCs/>
          <w:spacing w:val="2"/>
          <w:lang w:val="es-MX"/>
        </w:rPr>
        <w:t xml:space="preserve"> </w:t>
      </w:r>
      <w:proofErr w:type="spellStart"/>
      <w:r w:rsidRPr="00C258DE">
        <w:rPr>
          <w:i/>
          <w:iCs/>
          <w:spacing w:val="2"/>
          <w:lang w:val="es-MX"/>
        </w:rPr>
        <w:t>vanilla</w:t>
      </w:r>
      <w:proofErr w:type="spellEnd"/>
      <w:r w:rsidRPr="00C258DE">
        <w:rPr>
          <w:spacing w:val="2"/>
          <w:lang w:val="es-MX"/>
        </w:rPr>
        <w:t xml:space="preserve">) a 3 años, con pagos semestrales y estructura </w:t>
      </w:r>
      <w:proofErr w:type="spellStart"/>
      <w:r w:rsidRPr="00C258DE">
        <w:rPr>
          <w:i/>
          <w:iCs/>
          <w:spacing w:val="2"/>
          <w:lang w:val="es-MX"/>
        </w:rPr>
        <w:t>bullet</w:t>
      </w:r>
      <w:proofErr w:type="spellEnd"/>
      <w:r w:rsidRPr="00C258DE">
        <w:rPr>
          <w:spacing w:val="2"/>
          <w:lang w:val="es-MX"/>
        </w:rPr>
        <w:t>.</w:t>
      </w:r>
    </w:p>
    <w:p w:rsidR="00625312" w:rsidRPr="00C258DE" w:rsidRDefault="00625312" w:rsidP="004E6DD9">
      <w:pPr>
        <w:pStyle w:val="Prrafodelista"/>
        <w:widowControl w:val="0"/>
        <w:numPr>
          <w:ilvl w:val="0"/>
          <w:numId w:val="2"/>
        </w:numPr>
        <w:spacing w:after="0" w:line="240" w:lineRule="auto"/>
        <w:jc w:val="both"/>
        <w:rPr>
          <w:rFonts w:cs="Times New Roman"/>
          <w:spacing w:val="2"/>
          <w:lang w:val="es-MX"/>
        </w:rPr>
      </w:pPr>
      <w:r w:rsidRPr="00C258DE">
        <w:rPr>
          <w:spacing w:val="2"/>
          <w:lang w:val="es-MX"/>
        </w:rPr>
        <w:t xml:space="preserve">Que ocurrirá a la estructuración anterior si ahora la </w:t>
      </w:r>
      <w:r w:rsidRPr="00C258DE">
        <w:rPr>
          <w:i/>
          <w:iCs/>
          <w:spacing w:val="2"/>
          <w:lang w:val="es-MX"/>
        </w:rPr>
        <w:t xml:space="preserve">parte flotante </w:t>
      </w:r>
      <w:r w:rsidRPr="00C258DE">
        <w:rPr>
          <w:spacing w:val="2"/>
          <w:lang w:val="es-MX"/>
        </w:rPr>
        <w:t xml:space="preserve">del Swap debe pagar una tasa </w:t>
      </w:r>
      <w:r w:rsidRPr="00C258DE">
        <w:rPr>
          <w:i/>
          <w:iCs/>
          <w:spacing w:val="2"/>
          <w:lang w:val="es-MX"/>
        </w:rPr>
        <w:t xml:space="preserve">flotante </w:t>
      </w:r>
      <w:r w:rsidRPr="00C258DE">
        <w:rPr>
          <w:spacing w:val="2"/>
          <w:lang w:val="es-MX"/>
        </w:rPr>
        <w:t xml:space="preserve">más un </w:t>
      </w:r>
      <w:r w:rsidRPr="00C258DE">
        <w:rPr>
          <w:i/>
          <w:iCs/>
          <w:spacing w:val="2"/>
          <w:lang w:val="es-MX"/>
        </w:rPr>
        <w:t>spread.</w:t>
      </w:r>
    </w:p>
    <w:p w:rsidR="00625312" w:rsidRPr="00C258DE" w:rsidRDefault="00625312" w:rsidP="004E6DD9">
      <w:pPr>
        <w:pStyle w:val="Prrafodelista"/>
        <w:widowControl w:val="0"/>
        <w:numPr>
          <w:ilvl w:val="0"/>
          <w:numId w:val="2"/>
        </w:numPr>
        <w:spacing w:after="0" w:line="240" w:lineRule="auto"/>
        <w:jc w:val="both"/>
        <w:rPr>
          <w:spacing w:val="2"/>
          <w:lang w:val="es-MX"/>
        </w:rPr>
      </w:pPr>
      <w:r w:rsidRPr="00C258DE">
        <w:rPr>
          <w:spacing w:val="2"/>
          <w:lang w:val="es-MX"/>
        </w:rPr>
        <w:t>Suponga que el Swap anterior es contraído (hoy) por las contrapartes A y B, las cuales enfrentan las siguientes condiciones de financiamiento.</w:t>
      </w:r>
    </w:p>
    <w:p w:rsidR="00625312" w:rsidRPr="00C258DE" w:rsidRDefault="00625312" w:rsidP="004E6DD9">
      <w:pPr>
        <w:pStyle w:val="Prrafodelista"/>
        <w:widowControl w:val="0"/>
        <w:spacing w:after="0" w:line="240" w:lineRule="auto"/>
        <w:jc w:val="both"/>
        <w:rPr>
          <w:rFonts w:cs="Times New Roman"/>
          <w:spacing w:val="2"/>
          <w:lang w:val="es-MX"/>
        </w:rPr>
      </w:pPr>
    </w:p>
    <w:tbl>
      <w:tblPr>
        <w:tblW w:w="5047" w:type="dxa"/>
        <w:jc w:val="center"/>
        <w:tblInd w:w="1724" w:type="dxa"/>
        <w:tblCellMar>
          <w:left w:w="70" w:type="dxa"/>
          <w:right w:w="70" w:type="dxa"/>
        </w:tblCellMar>
        <w:tblLook w:val="00A0"/>
      </w:tblPr>
      <w:tblGrid>
        <w:gridCol w:w="1503"/>
        <w:gridCol w:w="1560"/>
        <w:gridCol w:w="1984"/>
      </w:tblGrid>
      <w:tr w:rsidR="00625312" w:rsidRPr="009161E9">
        <w:trPr>
          <w:trHeight w:val="315"/>
          <w:jc w:val="center"/>
        </w:trPr>
        <w:tc>
          <w:tcPr>
            <w:tcW w:w="1503"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625312" w:rsidRPr="009161E9" w:rsidRDefault="00625312" w:rsidP="0015782C">
            <w:pPr>
              <w:spacing w:after="0"/>
              <w:rPr>
                <w:b/>
                <w:bCs/>
                <w:color w:val="000000"/>
                <w:lang w:val="es-MX" w:eastAsia="es-MX"/>
              </w:rPr>
            </w:pPr>
            <w:r w:rsidRPr="009161E9">
              <w:rPr>
                <w:b/>
                <w:bCs/>
                <w:color w:val="000000"/>
                <w:lang w:val="es-MX" w:eastAsia="es-MX"/>
              </w:rPr>
              <w:t> </w:t>
            </w:r>
          </w:p>
        </w:tc>
        <w:tc>
          <w:tcPr>
            <w:tcW w:w="1560" w:type="dxa"/>
            <w:tcBorders>
              <w:top w:val="single" w:sz="8" w:space="0" w:color="auto"/>
              <w:left w:val="nil"/>
              <w:bottom w:val="single" w:sz="8" w:space="0" w:color="auto"/>
              <w:right w:val="single" w:sz="4" w:space="0" w:color="auto"/>
            </w:tcBorders>
            <w:shd w:val="clear" w:color="000000" w:fill="FFFFFF"/>
            <w:noWrap/>
            <w:vAlign w:val="bottom"/>
          </w:tcPr>
          <w:p w:rsidR="00625312" w:rsidRPr="009161E9" w:rsidRDefault="00625312" w:rsidP="0015782C">
            <w:pPr>
              <w:spacing w:after="0"/>
              <w:rPr>
                <w:b/>
                <w:bCs/>
                <w:color w:val="000000"/>
                <w:lang w:eastAsia="es-MX"/>
              </w:rPr>
            </w:pPr>
            <w:r w:rsidRPr="009161E9">
              <w:rPr>
                <w:b/>
                <w:bCs/>
                <w:color w:val="000000"/>
                <w:lang w:eastAsia="es-MX"/>
              </w:rPr>
              <w:t xml:space="preserve">Bono </w:t>
            </w:r>
            <w:proofErr w:type="spellStart"/>
            <w:r w:rsidRPr="009161E9">
              <w:rPr>
                <w:b/>
                <w:bCs/>
                <w:color w:val="000000"/>
                <w:lang w:eastAsia="es-MX"/>
              </w:rPr>
              <w:t>Fijo</w:t>
            </w:r>
            <w:proofErr w:type="spellEnd"/>
            <w:r w:rsidRPr="009161E9">
              <w:rPr>
                <w:b/>
                <w:bCs/>
                <w:color w:val="000000"/>
                <w:lang w:eastAsia="es-MX"/>
              </w:rPr>
              <w:t xml:space="preserve"> </w:t>
            </w:r>
            <w:r w:rsidRPr="009161E9">
              <w:rPr>
                <w:b/>
                <w:bCs/>
                <w:color w:val="000000"/>
                <w:vertAlign w:val="superscript"/>
                <w:lang w:eastAsia="es-MX"/>
              </w:rPr>
              <w:t>(*)</w:t>
            </w:r>
          </w:p>
        </w:tc>
        <w:tc>
          <w:tcPr>
            <w:tcW w:w="1984" w:type="dxa"/>
            <w:tcBorders>
              <w:top w:val="single" w:sz="8" w:space="0" w:color="auto"/>
              <w:left w:val="nil"/>
              <w:bottom w:val="single" w:sz="8" w:space="0" w:color="auto"/>
              <w:right w:val="single" w:sz="8" w:space="0" w:color="auto"/>
            </w:tcBorders>
            <w:shd w:val="clear" w:color="000000" w:fill="FFFFFF"/>
            <w:noWrap/>
            <w:vAlign w:val="bottom"/>
          </w:tcPr>
          <w:p w:rsidR="00625312" w:rsidRPr="009161E9" w:rsidRDefault="00625312" w:rsidP="0015782C">
            <w:pPr>
              <w:spacing w:after="0"/>
              <w:rPr>
                <w:b/>
                <w:bCs/>
                <w:color w:val="000000"/>
                <w:lang w:eastAsia="es-MX"/>
              </w:rPr>
            </w:pPr>
            <w:r w:rsidRPr="009161E9">
              <w:rPr>
                <w:b/>
                <w:bCs/>
                <w:color w:val="000000"/>
                <w:lang w:eastAsia="es-MX"/>
              </w:rPr>
              <w:t xml:space="preserve">Bono </w:t>
            </w:r>
            <w:proofErr w:type="spellStart"/>
            <w:r w:rsidRPr="009161E9">
              <w:rPr>
                <w:b/>
                <w:bCs/>
                <w:color w:val="000000"/>
                <w:lang w:eastAsia="es-MX"/>
              </w:rPr>
              <w:t>Flotante</w:t>
            </w:r>
            <w:proofErr w:type="spellEnd"/>
            <w:r w:rsidRPr="009161E9">
              <w:rPr>
                <w:b/>
                <w:bCs/>
                <w:color w:val="000000"/>
                <w:vertAlign w:val="superscript"/>
                <w:lang w:eastAsia="es-MX"/>
              </w:rPr>
              <w:t>(*)</w:t>
            </w:r>
          </w:p>
        </w:tc>
      </w:tr>
      <w:tr w:rsidR="00625312" w:rsidRPr="009161E9">
        <w:trPr>
          <w:trHeight w:val="306"/>
          <w:jc w:val="center"/>
        </w:trPr>
        <w:tc>
          <w:tcPr>
            <w:tcW w:w="1503" w:type="dxa"/>
            <w:tcBorders>
              <w:top w:val="nil"/>
              <w:left w:val="single" w:sz="4" w:space="0" w:color="auto"/>
              <w:bottom w:val="single" w:sz="4" w:space="0" w:color="auto"/>
              <w:right w:val="single" w:sz="4" w:space="0" w:color="auto"/>
            </w:tcBorders>
            <w:shd w:val="clear" w:color="000000" w:fill="FFFFFF"/>
            <w:noWrap/>
            <w:vAlign w:val="bottom"/>
          </w:tcPr>
          <w:p w:rsidR="00625312" w:rsidRPr="009161E9" w:rsidRDefault="00625312" w:rsidP="0015782C">
            <w:pPr>
              <w:spacing w:after="0"/>
              <w:rPr>
                <w:b/>
                <w:bCs/>
                <w:spacing w:val="2"/>
                <w:sz w:val="20"/>
                <w:szCs w:val="20"/>
                <w:lang w:val="es-ES"/>
              </w:rPr>
            </w:pPr>
            <w:r w:rsidRPr="009161E9">
              <w:rPr>
                <w:b/>
                <w:bCs/>
                <w:spacing w:val="2"/>
                <w:sz w:val="20"/>
                <w:szCs w:val="20"/>
                <w:lang w:val="es-ES"/>
              </w:rPr>
              <w:t>Empresa  A</w:t>
            </w:r>
          </w:p>
        </w:tc>
        <w:tc>
          <w:tcPr>
            <w:tcW w:w="1560" w:type="dxa"/>
            <w:tcBorders>
              <w:top w:val="nil"/>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jc w:val="center"/>
              <w:rPr>
                <w:spacing w:val="2"/>
                <w:sz w:val="20"/>
                <w:szCs w:val="20"/>
                <w:lang w:val="es-ES"/>
              </w:rPr>
            </w:pPr>
            <w:r w:rsidRPr="009161E9">
              <w:rPr>
                <w:spacing w:val="2"/>
                <w:sz w:val="20"/>
                <w:szCs w:val="20"/>
                <w:lang w:val="es-ES"/>
              </w:rPr>
              <w:t>5.00%</w:t>
            </w:r>
          </w:p>
        </w:tc>
        <w:tc>
          <w:tcPr>
            <w:tcW w:w="1984" w:type="dxa"/>
            <w:tcBorders>
              <w:top w:val="nil"/>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jc w:val="center"/>
              <w:rPr>
                <w:spacing w:val="2"/>
                <w:sz w:val="20"/>
                <w:szCs w:val="20"/>
                <w:lang w:val="es-ES"/>
              </w:rPr>
            </w:pPr>
            <w:proofErr w:type="spellStart"/>
            <w:r w:rsidRPr="009161E9">
              <w:rPr>
                <w:spacing w:val="2"/>
                <w:sz w:val="20"/>
                <w:szCs w:val="20"/>
                <w:lang w:val="es-ES"/>
              </w:rPr>
              <w:t>float</w:t>
            </w:r>
            <w:proofErr w:type="spellEnd"/>
            <w:r w:rsidRPr="009161E9">
              <w:rPr>
                <w:spacing w:val="2"/>
                <w:sz w:val="20"/>
                <w:szCs w:val="20"/>
                <w:lang w:val="es-ES"/>
              </w:rPr>
              <w:t xml:space="preserve"> + 20 bps</w:t>
            </w:r>
          </w:p>
        </w:tc>
      </w:tr>
      <w:tr w:rsidR="00625312" w:rsidRPr="009161E9">
        <w:trPr>
          <w:trHeight w:val="300"/>
          <w:jc w:val="center"/>
        </w:trPr>
        <w:tc>
          <w:tcPr>
            <w:tcW w:w="1503" w:type="dxa"/>
            <w:tcBorders>
              <w:top w:val="nil"/>
              <w:left w:val="single" w:sz="4" w:space="0" w:color="auto"/>
              <w:bottom w:val="single" w:sz="4" w:space="0" w:color="auto"/>
              <w:right w:val="single" w:sz="4" w:space="0" w:color="auto"/>
            </w:tcBorders>
            <w:shd w:val="clear" w:color="000000" w:fill="FFFFFF"/>
            <w:noWrap/>
            <w:vAlign w:val="bottom"/>
          </w:tcPr>
          <w:p w:rsidR="00625312" w:rsidRPr="009161E9" w:rsidRDefault="00625312" w:rsidP="0015782C">
            <w:pPr>
              <w:spacing w:after="0"/>
              <w:rPr>
                <w:b/>
                <w:bCs/>
                <w:spacing w:val="2"/>
                <w:sz w:val="20"/>
                <w:szCs w:val="20"/>
                <w:lang w:val="es-ES"/>
              </w:rPr>
            </w:pPr>
            <w:r w:rsidRPr="009161E9">
              <w:rPr>
                <w:b/>
                <w:bCs/>
                <w:spacing w:val="2"/>
                <w:sz w:val="20"/>
                <w:szCs w:val="20"/>
                <w:lang w:val="es-ES"/>
              </w:rPr>
              <w:t>Empresa  B</w:t>
            </w:r>
          </w:p>
        </w:tc>
        <w:tc>
          <w:tcPr>
            <w:tcW w:w="1560" w:type="dxa"/>
            <w:tcBorders>
              <w:top w:val="nil"/>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jc w:val="center"/>
              <w:rPr>
                <w:spacing w:val="2"/>
                <w:sz w:val="20"/>
                <w:szCs w:val="20"/>
                <w:lang w:val="es-ES"/>
              </w:rPr>
            </w:pPr>
            <w:r w:rsidRPr="009161E9">
              <w:rPr>
                <w:spacing w:val="2"/>
                <w:sz w:val="20"/>
                <w:szCs w:val="20"/>
                <w:lang w:val="es-ES"/>
              </w:rPr>
              <w:t>7.50%</w:t>
            </w:r>
          </w:p>
        </w:tc>
        <w:tc>
          <w:tcPr>
            <w:tcW w:w="1984" w:type="dxa"/>
            <w:tcBorders>
              <w:top w:val="nil"/>
              <w:left w:val="nil"/>
              <w:bottom w:val="single" w:sz="4" w:space="0" w:color="auto"/>
              <w:right w:val="single" w:sz="4" w:space="0" w:color="auto"/>
            </w:tcBorders>
            <w:shd w:val="clear" w:color="000000" w:fill="FFFFFF"/>
            <w:noWrap/>
            <w:vAlign w:val="bottom"/>
          </w:tcPr>
          <w:p w:rsidR="00625312" w:rsidRPr="009161E9" w:rsidRDefault="00625312" w:rsidP="0015782C">
            <w:pPr>
              <w:autoSpaceDE w:val="0"/>
              <w:autoSpaceDN w:val="0"/>
              <w:adjustRightInd w:val="0"/>
              <w:spacing w:after="0"/>
              <w:ind w:right="-20"/>
              <w:jc w:val="center"/>
              <w:rPr>
                <w:spacing w:val="2"/>
                <w:sz w:val="20"/>
                <w:szCs w:val="20"/>
                <w:lang w:val="es-ES"/>
              </w:rPr>
            </w:pPr>
            <w:r w:rsidRPr="009161E9">
              <w:rPr>
                <w:spacing w:val="2"/>
                <w:sz w:val="20"/>
                <w:szCs w:val="20"/>
                <w:lang w:val="es-ES"/>
              </w:rPr>
              <w:t>--</w:t>
            </w:r>
          </w:p>
        </w:tc>
      </w:tr>
    </w:tbl>
    <w:p w:rsidR="00625312" w:rsidRPr="00C258DE" w:rsidRDefault="00625312" w:rsidP="004E6DD9">
      <w:pPr>
        <w:ind w:left="1416"/>
        <w:jc w:val="both"/>
        <w:rPr>
          <w:b/>
          <w:bCs/>
          <w:spacing w:val="2"/>
          <w:sz w:val="16"/>
          <w:szCs w:val="16"/>
          <w:lang w:val="es-MX"/>
        </w:rPr>
      </w:pPr>
      <w:r w:rsidRPr="00C258DE">
        <w:rPr>
          <w:b/>
          <w:bCs/>
          <w:spacing w:val="2"/>
          <w:sz w:val="16"/>
          <w:szCs w:val="16"/>
          <w:lang w:val="es-MX"/>
        </w:rPr>
        <w:t xml:space="preserve">           (*) Bonos </w:t>
      </w:r>
      <w:proofErr w:type="spellStart"/>
      <w:r w:rsidRPr="00C258DE">
        <w:rPr>
          <w:b/>
          <w:bCs/>
          <w:spacing w:val="2"/>
          <w:sz w:val="16"/>
          <w:szCs w:val="16"/>
          <w:lang w:val="es-MX"/>
        </w:rPr>
        <w:t>bullet</w:t>
      </w:r>
      <w:proofErr w:type="spellEnd"/>
      <w:r w:rsidRPr="00C258DE">
        <w:rPr>
          <w:b/>
          <w:bCs/>
          <w:spacing w:val="2"/>
          <w:sz w:val="16"/>
          <w:szCs w:val="16"/>
          <w:lang w:val="es-MX"/>
        </w:rPr>
        <w:t xml:space="preserve"> a 3 años, con pago semestral</w:t>
      </w:r>
    </w:p>
    <w:p w:rsidR="00625312" w:rsidRPr="00C258DE" w:rsidRDefault="00625312" w:rsidP="004E6DD9">
      <w:pPr>
        <w:spacing w:after="0"/>
        <w:ind w:left="1416"/>
        <w:jc w:val="both"/>
        <w:rPr>
          <w:b/>
          <w:bCs/>
          <w:spacing w:val="2"/>
          <w:sz w:val="16"/>
          <w:szCs w:val="16"/>
          <w:lang w:val="es-MX"/>
        </w:rPr>
      </w:pPr>
    </w:p>
    <w:p w:rsidR="00625312" w:rsidRPr="00C258DE" w:rsidRDefault="00625312" w:rsidP="004E6DD9">
      <w:pPr>
        <w:ind w:left="720"/>
        <w:jc w:val="both"/>
        <w:rPr>
          <w:spacing w:val="2"/>
          <w:lang w:val="es-MX"/>
        </w:rPr>
      </w:pPr>
      <w:r w:rsidRPr="00C258DE">
        <w:rPr>
          <w:spacing w:val="2"/>
          <w:lang w:val="es-MX"/>
        </w:rPr>
        <w:t xml:space="preserve">Estime el costo </w:t>
      </w:r>
      <w:r>
        <w:rPr>
          <w:spacing w:val="2"/>
          <w:lang w:val="es-MX"/>
        </w:rPr>
        <w:t xml:space="preserve">total </w:t>
      </w:r>
      <w:r w:rsidRPr="00C258DE">
        <w:rPr>
          <w:spacing w:val="2"/>
          <w:lang w:val="es-MX"/>
        </w:rPr>
        <w:t xml:space="preserve">de financiamiento a tasa </w:t>
      </w:r>
      <w:r w:rsidRPr="00C258DE">
        <w:rPr>
          <w:i/>
          <w:iCs/>
          <w:spacing w:val="2"/>
          <w:lang w:val="es-MX"/>
        </w:rPr>
        <w:t>flotante</w:t>
      </w:r>
      <w:r w:rsidRPr="00C258DE">
        <w:rPr>
          <w:spacing w:val="2"/>
          <w:lang w:val="es-MX"/>
        </w:rPr>
        <w:t xml:space="preserve"> de la empresa B.</w:t>
      </w:r>
    </w:p>
    <w:p w:rsidR="00625312" w:rsidRPr="008A7835" w:rsidRDefault="00625312" w:rsidP="004E6DD9">
      <w:pPr>
        <w:pStyle w:val="Prrafodelista"/>
        <w:widowControl w:val="0"/>
        <w:numPr>
          <w:ilvl w:val="0"/>
          <w:numId w:val="2"/>
        </w:numPr>
        <w:spacing w:after="0" w:line="240" w:lineRule="auto"/>
        <w:jc w:val="both"/>
        <w:rPr>
          <w:spacing w:val="2"/>
          <w:lang w:val="es-MX"/>
        </w:rPr>
      </w:pPr>
      <w:r w:rsidRPr="00C258DE">
        <w:rPr>
          <w:spacing w:val="2"/>
          <w:lang w:val="es-MX"/>
        </w:rPr>
        <w:t xml:space="preserve">Si una empresa C se puede financiar a través de bonos </w:t>
      </w:r>
      <w:proofErr w:type="spellStart"/>
      <w:r w:rsidRPr="00C258DE">
        <w:rPr>
          <w:i/>
          <w:iCs/>
          <w:spacing w:val="2"/>
          <w:lang w:val="es-MX"/>
        </w:rPr>
        <w:t>bullet</w:t>
      </w:r>
      <w:proofErr w:type="spellEnd"/>
      <w:r w:rsidRPr="00C258DE">
        <w:rPr>
          <w:spacing w:val="2"/>
          <w:lang w:val="es-MX"/>
        </w:rPr>
        <w:t xml:space="preserve"> a 3 años, con pagos semestrales: (1). a tasa fija de 6.5% o (2). a tasa flotante de </w:t>
      </w:r>
      <w:proofErr w:type="spellStart"/>
      <w:r w:rsidRPr="00C258DE">
        <w:rPr>
          <w:i/>
          <w:iCs/>
          <w:spacing w:val="2"/>
          <w:lang w:val="es-MX"/>
        </w:rPr>
        <w:t>float</w:t>
      </w:r>
      <w:proofErr w:type="spellEnd"/>
      <w:r w:rsidRPr="00C258DE">
        <w:rPr>
          <w:i/>
          <w:iCs/>
          <w:spacing w:val="2"/>
          <w:lang w:val="es-MX"/>
        </w:rPr>
        <w:t xml:space="preserve"> </w:t>
      </w:r>
      <w:r w:rsidRPr="00C258DE">
        <w:rPr>
          <w:spacing w:val="2"/>
          <w:lang w:val="es-MX"/>
        </w:rPr>
        <w:t xml:space="preserve">+30bps. </w:t>
      </w:r>
      <w:r w:rsidRPr="008A7835">
        <w:rPr>
          <w:spacing w:val="2"/>
          <w:lang w:val="es-MX"/>
        </w:rPr>
        <w:t>¿Cuál es la mejor decisión de financiamiento?</w:t>
      </w:r>
    </w:p>
    <w:p w:rsidR="00625312" w:rsidRDefault="00625312" w:rsidP="004E6DD9">
      <w:pPr>
        <w:rPr>
          <w:lang w:val="es-ES_tradnl"/>
        </w:rPr>
      </w:pPr>
    </w:p>
    <w:p w:rsidR="00625312" w:rsidRDefault="00625312" w:rsidP="004E6DD9">
      <w:pPr>
        <w:rPr>
          <w:lang w:val="es-ES_tradnl"/>
        </w:rPr>
      </w:pPr>
    </w:p>
    <w:p w:rsidR="00625312" w:rsidRDefault="00625312" w:rsidP="00DA7149">
      <w:pPr>
        <w:pStyle w:val="Prrafodelista"/>
        <w:rPr>
          <w:rFonts w:cs="Times New Roman"/>
          <w:lang w:val="es-ES_tradnl"/>
        </w:rPr>
      </w:pPr>
      <w:r>
        <w:rPr>
          <w:rFonts w:cs="Times New Roman"/>
          <w:lang w:val="es-ES_tradnl"/>
        </w:rPr>
        <w:br w:type="page"/>
      </w:r>
    </w:p>
    <w:p w:rsidR="00625312" w:rsidRPr="00C258DE" w:rsidRDefault="00625312" w:rsidP="00DA7149">
      <w:pPr>
        <w:rPr>
          <w:rFonts w:ascii="Tahoma" w:hAnsi="Tahoma" w:cs="Tahoma"/>
          <w:b/>
          <w:bCs/>
          <w:lang w:val="es-MX"/>
        </w:rPr>
      </w:pPr>
      <w:r>
        <w:rPr>
          <w:rFonts w:ascii="Tahoma" w:hAnsi="Tahoma" w:cs="Tahoma"/>
          <w:b/>
          <w:bCs/>
          <w:lang w:val="es-MX"/>
        </w:rPr>
        <w:t>Pregunta 3</w:t>
      </w:r>
      <w:r w:rsidRPr="00C258DE">
        <w:rPr>
          <w:rFonts w:ascii="Tahoma" w:hAnsi="Tahoma" w:cs="Tahoma"/>
          <w:b/>
          <w:bCs/>
          <w:lang w:val="es-MX"/>
        </w:rPr>
        <w:t xml:space="preserve"> </w:t>
      </w:r>
    </w:p>
    <w:p w:rsidR="00625312" w:rsidRDefault="00625312" w:rsidP="004E6DD9">
      <w:pPr>
        <w:rPr>
          <w:lang w:val="es-ES_tradnl"/>
        </w:rPr>
      </w:pPr>
      <w:r>
        <w:rPr>
          <w:lang w:val="es-ES_tradnl"/>
        </w:rPr>
        <w:t>Conteste las siguientes preguntas o comente las siguientes oraciones.</w:t>
      </w:r>
    </w:p>
    <w:p w:rsidR="00625312" w:rsidRPr="00361E3F" w:rsidRDefault="00625312" w:rsidP="00DA7149">
      <w:pPr>
        <w:numPr>
          <w:ilvl w:val="0"/>
          <w:numId w:val="4"/>
        </w:numPr>
        <w:rPr>
          <w:highlight w:val="yellow"/>
          <w:lang w:val="es-ES_tradnl"/>
        </w:rPr>
      </w:pPr>
      <w:r w:rsidRPr="00361E3F">
        <w:rPr>
          <w:highlight w:val="yellow"/>
          <w:lang w:val="es-ES_tradnl"/>
        </w:rPr>
        <w:t xml:space="preserve">Si una estructura de tasas a través de la cual </w:t>
      </w:r>
      <w:proofErr w:type="spellStart"/>
      <w:r w:rsidRPr="00361E3F">
        <w:rPr>
          <w:highlight w:val="yellow"/>
          <w:lang w:val="es-ES_tradnl"/>
        </w:rPr>
        <w:t>ud.</w:t>
      </w:r>
      <w:proofErr w:type="spellEnd"/>
      <w:r w:rsidRPr="00361E3F">
        <w:rPr>
          <w:highlight w:val="yellow"/>
          <w:lang w:val="es-ES_tradnl"/>
        </w:rPr>
        <w:t xml:space="preserve"> puede prestar o pedir prestado, presenta tasas forwards negativas, entonces existen oportunidades de arbitraje.</w:t>
      </w:r>
    </w:p>
    <w:p w:rsidR="00625312" w:rsidRDefault="00625312" w:rsidP="00DA7149">
      <w:pPr>
        <w:numPr>
          <w:ilvl w:val="0"/>
          <w:numId w:val="4"/>
        </w:numPr>
        <w:rPr>
          <w:lang w:val="es-ES_tradnl"/>
        </w:rPr>
      </w:pPr>
      <w:r>
        <w:rPr>
          <w:lang w:val="es-ES_tradnl"/>
        </w:rPr>
        <w:t>Una empresa que paga dividendos constantes e iguales a D todos los años, con una tasa de rentabilidad del capital de r también constante, ¿qué efecto, si alguno, tiene sobre el precio de su acción el dejar de pagar el dividendo del próximo año</w:t>
      </w:r>
      <w:proofErr w:type="gramStart"/>
      <w:r>
        <w:rPr>
          <w:lang w:val="es-ES_tradnl"/>
        </w:rPr>
        <w:t>?</w:t>
      </w:r>
      <w:proofErr w:type="gramEnd"/>
    </w:p>
    <w:p w:rsidR="00625312" w:rsidRDefault="00625312" w:rsidP="00DA7149">
      <w:pPr>
        <w:numPr>
          <w:ilvl w:val="0"/>
          <w:numId w:val="4"/>
        </w:numPr>
        <w:rPr>
          <w:lang w:val="es-ES_tradnl"/>
        </w:rPr>
      </w:pPr>
      <w:r>
        <w:rPr>
          <w:lang w:val="es-ES_tradnl"/>
        </w:rPr>
        <w:t xml:space="preserve">Si </w:t>
      </w:r>
      <w:proofErr w:type="spellStart"/>
      <w:r>
        <w:rPr>
          <w:lang w:val="es-ES_tradnl"/>
        </w:rPr>
        <w:t>ud.</w:t>
      </w:r>
      <w:proofErr w:type="spellEnd"/>
      <w:r>
        <w:rPr>
          <w:lang w:val="es-ES_tradnl"/>
        </w:rPr>
        <w:t xml:space="preserve"> compró hace una semana atrás un bono </w:t>
      </w:r>
      <w:proofErr w:type="spellStart"/>
      <w:r>
        <w:rPr>
          <w:lang w:val="es-ES_tradnl"/>
        </w:rPr>
        <w:t>bullet</w:t>
      </w:r>
      <w:proofErr w:type="spellEnd"/>
      <w:r>
        <w:rPr>
          <w:lang w:val="es-ES_tradnl"/>
        </w:rPr>
        <w:t xml:space="preserve"> de duración modificada igual a 5 años, que paga cupones a una tasa anual de 2%, y pagó valor par (</w:t>
      </w:r>
      <w:proofErr w:type="spellStart"/>
      <w:r>
        <w:rPr>
          <w:lang w:val="es-ES_tradnl"/>
        </w:rPr>
        <w:t>i.e.</w:t>
      </w:r>
      <w:proofErr w:type="spellEnd"/>
      <w:r>
        <w:rPr>
          <w:lang w:val="es-ES_tradnl"/>
        </w:rPr>
        <w:t xml:space="preserve"> 100). Si el precio hoy es de 95, estime la TIR del bono.</w:t>
      </w:r>
    </w:p>
    <w:p w:rsidR="00625312" w:rsidRDefault="00625312" w:rsidP="00DA7149">
      <w:pPr>
        <w:numPr>
          <w:ilvl w:val="0"/>
          <w:numId w:val="4"/>
        </w:numPr>
        <w:rPr>
          <w:lang w:val="es-ES_tradnl"/>
        </w:rPr>
      </w:pPr>
      <w:r>
        <w:rPr>
          <w:lang w:val="es-ES_tradnl"/>
        </w:rPr>
        <w:t>Comente: de acuerdo al CAPM, si solamente los retornos esperados de los activos se alteran, entonces la cartera de mínimo riesgo, (que no incluye el activo libre de riesgo), no cambia.</w:t>
      </w:r>
    </w:p>
    <w:p w:rsidR="00625312" w:rsidRDefault="00625312" w:rsidP="00DA7149">
      <w:pPr>
        <w:numPr>
          <w:ilvl w:val="0"/>
          <w:numId w:val="4"/>
        </w:numPr>
        <w:rPr>
          <w:lang w:val="es-ES_tradnl"/>
        </w:rPr>
      </w:pPr>
      <w:r>
        <w:rPr>
          <w:lang w:val="es-ES_tradnl"/>
        </w:rPr>
        <w:t xml:space="preserve">Explique claramente cómo estimaría el </w:t>
      </w:r>
      <w:proofErr w:type="spellStart"/>
      <w:r>
        <w:rPr>
          <w:lang w:val="es-ES_tradnl"/>
        </w:rPr>
        <w:t>Wacc</w:t>
      </w:r>
      <w:proofErr w:type="spellEnd"/>
      <w:r>
        <w:rPr>
          <w:lang w:val="es-ES_tradnl"/>
        </w:rPr>
        <w:t xml:space="preserve"> de una empresa que no transa en Bolsa (puede usar un ejemplo basándose en </w:t>
      </w:r>
      <w:proofErr w:type="spellStart"/>
      <w:r>
        <w:rPr>
          <w:lang w:val="es-ES_tradnl"/>
        </w:rPr>
        <w:t>Codelco</w:t>
      </w:r>
      <w:proofErr w:type="spellEnd"/>
      <w:r>
        <w:rPr>
          <w:lang w:val="es-ES_tradnl"/>
        </w:rPr>
        <w:t xml:space="preserve"> o </w:t>
      </w:r>
      <w:proofErr w:type="spellStart"/>
      <w:r>
        <w:rPr>
          <w:lang w:val="es-ES_tradnl"/>
        </w:rPr>
        <w:t>Enap</w:t>
      </w:r>
      <w:proofErr w:type="spellEnd"/>
      <w:r>
        <w:rPr>
          <w:lang w:val="es-ES_tradnl"/>
        </w:rPr>
        <w:t>, por ejemplo)</w:t>
      </w:r>
    </w:p>
    <w:p w:rsidR="00625312" w:rsidRDefault="00625312" w:rsidP="00DA7149">
      <w:pPr>
        <w:numPr>
          <w:ilvl w:val="0"/>
          <w:numId w:val="4"/>
        </w:numPr>
        <w:rPr>
          <w:lang w:val="es-ES_tradnl"/>
        </w:rPr>
      </w:pPr>
      <w:r>
        <w:rPr>
          <w:lang w:val="es-ES_tradnl"/>
        </w:rPr>
        <w:t xml:space="preserve">Explique por qué </w:t>
      </w:r>
      <w:proofErr w:type="gramStart"/>
      <w:r>
        <w:rPr>
          <w:lang w:val="es-ES_tradnl"/>
        </w:rPr>
        <w:t>el</w:t>
      </w:r>
      <w:proofErr w:type="gramEnd"/>
      <w:r>
        <w:rPr>
          <w:lang w:val="es-ES_tradnl"/>
        </w:rPr>
        <w:t xml:space="preserve"> vega de una opción es siempre positivo.</w:t>
      </w:r>
    </w:p>
    <w:p w:rsidR="00625312" w:rsidRDefault="00625312" w:rsidP="004E6DD9">
      <w:pPr>
        <w:rPr>
          <w:lang w:val="es-ES_tradnl"/>
        </w:rPr>
      </w:pPr>
    </w:p>
    <w:p w:rsidR="00625312" w:rsidRDefault="00625312" w:rsidP="004E6DD9">
      <w:pPr>
        <w:rPr>
          <w:lang w:val="es-ES_tradnl"/>
        </w:rPr>
      </w:pPr>
    </w:p>
    <w:p w:rsidR="00625312" w:rsidRPr="00C258DE" w:rsidRDefault="00625312" w:rsidP="009D349C">
      <w:pPr>
        <w:rPr>
          <w:rFonts w:ascii="Tahoma" w:hAnsi="Tahoma" w:cs="Tahoma"/>
          <w:b/>
          <w:bCs/>
          <w:lang w:val="es-MX"/>
        </w:rPr>
      </w:pPr>
      <w:r>
        <w:rPr>
          <w:rFonts w:ascii="Tahoma" w:hAnsi="Tahoma" w:cs="Tahoma"/>
          <w:b/>
          <w:bCs/>
          <w:lang w:val="es-MX"/>
        </w:rPr>
        <w:br w:type="page"/>
      </w:r>
      <w:r>
        <w:rPr>
          <w:rFonts w:ascii="Tahoma" w:hAnsi="Tahoma" w:cs="Tahoma"/>
          <w:b/>
          <w:bCs/>
          <w:lang w:val="es-MX"/>
        </w:rPr>
        <w:lastRenderedPageBreak/>
        <w:t>Pregunta 4</w:t>
      </w:r>
      <w:r w:rsidRPr="00C258DE">
        <w:rPr>
          <w:rFonts w:ascii="Tahoma" w:hAnsi="Tahoma" w:cs="Tahoma"/>
          <w:b/>
          <w:bCs/>
          <w:lang w:val="es-MX"/>
        </w:rPr>
        <w:t xml:space="preserve"> </w:t>
      </w:r>
    </w:p>
    <w:p w:rsidR="00625312" w:rsidRDefault="00625312" w:rsidP="005A1A6F">
      <w:pPr>
        <w:ind w:left="360"/>
        <w:rPr>
          <w:lang w:val="es-ES_tradnl"/>
        </w:rPr>
      </w:pPr>
      <w:r>
        <w:rPr>
          <w:lang w:val="es-ES_tradnl"/>
        </w:rPr>
        <w:t xml:space="preserve">Suponga que Ud. vende una opción </w:t>
      </w:r>
      <w:proofErr w:type="spellStart"/>
      <w:r>
        <w:rPr>
          <w:lang w:val="es-ES_tradnl"/>
        </w:rPr>
        <w:t>put</w:t>
      </w:r>
      <w:proofErr w:type="spellEnd"/>
      <w:r>
        <w:rPr>
          <w:lang w:val="es-ES_tradnl"/>
        </w:rPr>
        <w:t xml:space="preserve"> americana sobre una acción de </w:t>
      </w:r>
      <w:proofErr w:type="spellStart"/>
      <w:r>
        <w:rPr>
          <w:lang w:val="es-ES_tradnl"/>
        </w:rPr>
        <w:t>Citibank</w:t>
      </w:r>
      <w:proofErr w:type="spellEnd"/>
      <w:r>
        <w:rPr>
          <w:lang w:val="es-ES_tradnl"/>
        </w:rPr>
        <w:t>, en 3 meses más, con un precio de ejercicio igual a 3,8 dólares. El precio de la acción es de 4 dólares, su volatilidad mensual es de 6,5%, y la tasa libre de riesgo anual, compuesta mensualmente, es de 3%.</w:t>
      </w:r>
    </w:p>
    <w:p w:rsidR="00625312" w:rsidRDefault="00625312" w:rsidP="005A1A6F">
      <w:pPr>
        <w:numPr>
          <w:ilvl w:val="1"/>
          <w:numId w:val="5"/>
        </w:numPr>
        <w:rPr>
          <w:lang w:val="es-ES_tradnl"/>
        </w:rPr>
      </w:pPr>
      <w:r>
        <w:rPr>
          <w:lang w:val="es-ES_tradnl"/>
        </w:rPr>
        <w:t xml:space="preserve">Construya el árbol mensual de precios de la acción de </w:t>
      </w:r>
      <w:proofErr w:type="spellStart"/>
      <w:r>
        <w:rPr>
          <w:lang w:val="es-ES_tradnl"/>
        </w:rPr>
        <w:t>Citibank</w:t>
      </w:r>
      <w:proofErr w:type="spellEnd"/>
      <w:r>
        <w:rPr>
          <w:lang w:val="es-ES_tradnl"/>
        </w:rPr>
        <w:t xml:space="preserve"> para los próximos 4 meses, y estime las probabilidades neutras al riesgo.</w:t>
      </w:r>
    </w:p>
    <w:p w:rsidR="00625312" w:rsidRDefault="00625312" w:rsidP="005A1A6F">
      <w:pPr>
        <w:numPr>
          <w:ilvl w:val="1"/>
          <w:numId w:val="5"/>
        </w:numPr>
        <w:rPr>
          <w:lang w:val="es-ES_tradnl"/>
        </w:rPr>
      </w:pPr>
      <w:r>
        <w:rPr>
          <w:lang w:val="es-ES_tradnl"/>
        </w:rPr>
        <w:t>Estime el precio teórico hoy de la opción PUT que recibirá.</w:t>
      </w:r>
    </w:p>
    <w:p w:rsidR="00625312" w:rsidRDefault="00625312" w:rsidP="005A1A6F">
      <w:pPr>
        <w:numPr>
          <w:ilvl w:val="1"/>
          <w:numId w:val="5"/>
        </w:numPr>
        <w:rPr>
          <w:lang w:val="es-ES_tradnl"/>
        </w:rPr>
      </w:pPr>
      <w:r>
        <w:rPr>
          <w:lang w:val="es-ES_tradnl"/>
        </w:rPr>
        <w:t xml:space="preserve">Suponga que </w:t>
      </w:r>
      <w:proofErr w:type="spellStart"/>
      <w:r>
        <w:rPr>
          <w:lang w:val="es-ES_tradnl"/>
        </w:rPr>
        <w:t>Ud</w:t>
      </w:r>
      <w:proofErr w:type="spellEnd"/>
      <w:r>
        <w:rPr>
          <w:lang w:val="es-ES_tradnl"/>
        </w:rPr>
        <w:t xml:space="preserve"> vendió 10 mil opciones al precio estimado en II). Además Ud. estima que si el precio de la acción sube de 4 a 4,1 dólares, el precio de la opción Americana bajará en 3 centavos. Explique claramente qué estrategia seguiría para dejar inmune su cartera de opciones a variaciones del precio de la acción. </w:t>
      </w:r>
    </w:p>
    <w:p w:rsidR="00625312" w:rsidRDefault="00625312" w:rsidP="004E6DD9">
      <w:pPr>
        <w:rPr>
          <w:lang w:val="es-ES_tradnl"/>
        </w:rPr>
      </w:pPr>
    </w:p>
    <w:p w:rsidR="00625312" w:rsidRDefault="00625312">
      <w:pPr>
        <w:rPr>
          <w:b/>
          <w:bCs/>
          <w:lang w:val="es-ES_tradnl"/>
        </w:rPr>
      </w:pPr>
      <w:r>
        <w:rPr>
          <w:b/>
          <w:bCs/>
          <w:lang w:val="es-ES_tradnl"/>
        </w:rPr>
        <w:br w:type="page"/>
      </w:r>
    </w:p>
    <w:p w:rsidR="00625312" w:rsidRDefault="00625312" w:rsidP="004E6DD9">
      <w:pPr>
        <w:rPr>
          <w:b/>
          <w:bCs/>
          <w:sz w:val="28"/>
          <w:szCs w:val="28"/>
          <w:lang w:val="es-ES_tradnl"/>
        </w:rPr>
      </w:pPr>
      <w:r>
        <w:rPr>
          <w:b/>
          <w:bCs/>
          <w:sz w:val="28"/>
          <w:szCs w:val="28"/>
          <w:lang w:val="es-ES_tradnl"/>
        </w:rPr>
        <w:t>Pauta pregunta 1</w:t>
      </w:r>
    </w:p>
    <w:p w:rsidR="00625312" w:rsidRPr="004C7061" w:rsidRDefault="00625312" w:rsidP="004E6DD9">
      <w:pPr>
        <w:pStyle w:val="Prrafodelista"/>
        <w:numPr>
          <w:ilvl w:val="0"/>
          <w:numId w:val="3"/>
        </w:numPr>
        <w:rPr>
          <w:rFonts w:cs="Times New Roman"/>
          <w:b/>
          <w:bCs/>
          <w:sz w:val="28"/>
          <w:szCs w:val="28"/>
          <w:lang w:val="es-ES_tradnl"/>
        </w:rPr>
      </w:pPr>
      <w:r w:rsidRPr="004C7061">
        <w:rPr>
          <w:rFonts w:cs="Times New Roman"/>
          <w:position w:val="-30"/>
          <w:lang w:val="es-ES_tradnl"/>
        </w:rPr>
        <w:object w:dxaOrig="1900" w:dyaOrig="720">
          <v:shape id="_x0000_i1045" type="#_x0000_t75" style="width:95.1pt;height:36pt" o:ole="">
            <v:imagedata r:id="rId43" o:title=""/>
          </v:shape>
          <o:OLEObject Type="Embed" ProgID="Equation.3" ShapeID="_x0000_i1045" DrawAspect="Content" ObjectID="_1340457672" r:id="rId44"/>
        </w:object>
      </w:r>
      <w:r>
        <w:rPr>
          <w:lang w:val="es-ES_tradnl"/>
        </w:rPr>
        <w:t xml:space="preserve">, </w:t>
      </w:r>
      <w:r w:rsidRPr="004C7061">
        <w:rPr>
          <w:rFonts w:cs="Times New Roman"/>
          <w:position w:val="-30"/>
          <w:lang w:val="es-ES"/>
        </w:rPr>
        <w:object w:dxaOrig="2780" w:dyaOrig="720">
          <v:shape id="_x0000_i1046" type="#_x0000_t75" style="width:138.55pt;height:36pt" o:ole="">
            <v:imagedata r:id="rId45" o:title=""/>
          </v:shape>
          <o:OLEObject Type="Embed" ProgID="Equation.3" ShapeID="_x0000_i1046" DrawAspect="Content" ObjectID="_1340457673" r:id="rId46"/>
        </w:object>
      </w:r>
      <w:r w:rsidRPr="00161AAE">
        <w:rPr>
          <w:lang w:val="es-MX"/>
        </w:rPr>
        <w:t xml:space="preserve"> por construcci</w:t>
      </w:r>
      <w:r>
        <w:rPr>
          <w:lang w:val="es-MX"/>
        </w:rPr>
        <w:t>ó</w:t>
      </w:r>
      <w:r w:rsidRPr="00161AAE">
        <w:rPr>
          <w:lang w:val="es-MX"/>
        </w:rPr>
        <w:t>n.</w:t>
      </w:r>
    </w:p>
    <w:p w:rsidR="00625312" w:rsidRDefault="00625312" w:rsidP="004E6DD9">
      <w:pPr>
        <w:pStyle w:val="Prrafodelista"/>
        <w:numPr>
          <w:ilvl w:val="0"/>
          <w:numId w:val="3"/>
        </w:numPr>
        <w:rPr>
          <w:rFonts w:cs="Times New Roman"/>
          <w:b/>
          <w:bCs/>
          <w:sz w:val="28"/>
          <w:szCs w:val="28"/>
          <w:lang w:val="es-ES_tradnl"/>
        </w:rPr>
      </w:pPr>
      <w:r>
        <w:rPr>
          <w:lang w:val="es-ES_tradnl"/>
        </w:rPr>
        <w:t xml:space="preserve">Utilizando la parte anterior se tiene. </w:t>
      </w:r>
      <w:r w:rsidRPr="004C7061">
        <w:rPr>
          <w:rFonts w:cs="Times New Roman"/>
          <w:position w:val="-30"/>
          <w:lang w:val="es-ES_tradnl"/>
        </w:rPr>
        <w:object w:dxaOrig="3320" w:dyaOrig="680">
          <v:shape id="_x0000_i1047" type="#_x0000_t75" style="width:164.4pt;height:33.95pt" o:ole="">
            <v:imagedata r:id="rId47" o:title=""/>
          </v:shape>
          <o:OLEObject Type="Embed" ProgID="Equation.3" ShapeID="_x0000_i1047" DrawAspect="Content" ObjectID="_1340457674" r:id="rId48"/>
        </w:object>
      </w:r>
    </w:p>
    <w:p w:rsidR="00625312" w:rsidRPr="00223115" w:rsidRDefault="00625312" w:rsidP="004E6DD9">
      <w:pPr>
        <w:pStyle w:val="Prrafodelista"/>
        <w:numPr>
          <w:ilvl w:val="0"/>
          <w:numId w:val="3"/>
        </w:numPr>
        <w:rPr>
          <w:rFonts w:cs="Times New Roman"/>
          <w:b/>
          <w:bCs/>
          <w:sz w:val="28"/>
          <w:szCs w:val="28"/>
          <w:lang w:val="es-ES_tradnl"/>
        </w:rPr>
      </w:pPr>
      <w:r w:rsidRPr="00223115">
        <w:rPr>
          <w:lang w:val="es-ES_tradnl"/>
        </w:rPr>
        <w:t>Utilizando CAPM y los resultados anteriores se tiene:</w:t>
      </w:r>
      <w:r w:rsidRPr="00223115">
        <w:rPr>
          <w:lang w:val="es-ES_tradnl"/>
        </w:rPr>
        <w:br/>
      </w:r>
      <w:r w:rsidRPr="004C7061">
        <w:rPr>
          <w:rFonts w:cs="Times New Roman"/>
          <w:position w:val="-68"/>
          <w:lang w:val="es-ES_tradnl"/>
        </w:rPr>
        <w:object w:dxaOrig="6240" w:dyaOrig="1100">
          <v:shape id="_x0000_i1048" type="#_x0000_t75" style="width:309.05pt;height:55pt" o:ole="">
            <v:imagedata r:id="rId49" o:title=""/>
          </v:shape>
          <o:OLEObject Type="Embed" ProgID="Equation.3" ShapeID="_x0000_i1048" DrawAspect="Content" ObjectID="_1340457675" r:id="rId50"/>
        </w:object>
      </w:r>
    </w:p>
    <w:p w:rsidR="00625312" w:rsidRDefault="00625312" w:rsidP="004E6DD9">
      <w:pPr>
        <w:pStyle w:val="Prrafodelista"/>
        <w:rPr>
          <w:lang w:val="es-MX"/>
        </w:rPr>
      </w:pPr>
      <w:r>
        <w:rPr>
          <w:lang w:val="es-ES_tradnl"/>
        </w:rPr>
        <w:t xml:space="preserve">Reordenando se tiene lo deseado. El termino </w:t>
      </w:r>
      <w:r w:rsidRPr="00A25856">
        <w:rPr>
          <w:rFonts w:cs="Times New Roman"/>
          <w:position w:val="-12"/>
          <w:lang w:val="es-ES"/>
        </w:rPr>
        <w:object w:dxaOrig="639" w:dyaOrig="360">
          <v:shape id="_x0000_i1049" type="#_x0000_t75" style="width:31.25pt;height:18.35pt" o:ole="">
            <v:imagedata r:id="rId25" o:title=""/>
          </v:shape>
          <o:OLEObject Type="Embed" ProgID="Equation.3" ShapeID="_x0000_i1049" DrawAspect="Content" ObjectID="_1340457676" r:id="rId51"/>
        </w:object>
      </w:r>
      <w:r w:rsidRPr="00223115">
        <w:rPr>
          <w:lang w:val="es-MX"/>
        </w:rPr>
        <w:t xml:space="preserve">, se puede </w:t>
      </w:r>
      <w:r>
        <w:rPr>
          <w:lang w:val="es-MX"/>
        </w:rPr>
        <w:t>interpreta</w:t>
      </w:r>
      <w:r w:rsidRPr="00223115">
        <w:rPr>
          <w:lang w:val="es-MX"/>
        </w:rPr>
        <w:t>r como</w:t>
      </w:r>
      <w:r>
        <w:rPr>
          <w:lang w:val="es-MX"/>
        </w:rPr>
        <w:t xml:space="preserve"> un ajuste a los flujos de caja, dado que el descuento se </w:t>
      </w:r>
      <w:proofErr w:type="spellStart"/>
      <w:r>
        <w:rPr>
          <w:lang w:val="es-MX"/>
        </w:rPr>
        <w:t>esta</w:t>
      </w:r>
      <w:proofErr w:type="spellEnd"/>
      <w:r>
        <w:rPr>
          <w:lang w:val="es-MX"/>
        </w:rPr>
        <w:t xml:space="preserve"> realizando a tasa libre de riesgo, parece razonable incluir las preferencias del agente en el numerador vía ajustar los flujos esperados directamente por </w:t>
      </w:r>
      <w:r w:rsidRPr="00A25856">
        <w:rPr>
          <w:rFonts w:cs="Times New Roman"/>
          <w:position w:val="-12"/>
          <w:lang w:val="es-ES"/>
        </w:rPr>
        <w:object w:dxaOrig="639" w:dyaOrig="360">
          <v:shape id="_x0000_i1050" type="#_x0000_t75" style="width:31.25pt;height:18.35pt" o:ole="">
            <v:imagedata r:id="rId25" o:title=""/>
          </v:shape>
          <o:OLEObject Type="Embed" ProgID="Equation.3" ShapeID="_x0000_i1050" DrawAspect="Content" ObjectID="_1340457677" r:id="rId52"/>
        </w:object>
      </w:r>
      <w:r w:rsidRPr="00223115">
        <w:rPr>
          <w:lang w:val="es-MX"/>
        </w:rPr>
        <w:t xml:space="preserve">. </w:t>
      </w:r>
      <w:r>
        <w:rPr>
          <w:lang w:val="es-MX"/>
        </w:rPr>
        <w:t>En este caso se castigaran más aquellos flujos que se muevan junto al mercado, en la misma dinámica del modelo CAPM.</w:t>
      </w:r>
    </w:p>
    <w:p w:rsidR="00625312" w:rsidRPr="004A27A6" w:rsidRDefault="00625312" w:rsidP="004E6DD9">
      <w:pPr>
        <w:pStyle w:val="Prrafodelista"/>
        <w:numPr>
          <w:ilvl w:val="0"/>
          <w:numId w:val="3"/>
        </w:numPr>
        <w:rPr>
          <w:rFonts w:cs="Times New Roman"/>
          <w:lang w:val="es-MX"/>
        </w:rPr>
      </w:pPr>
      <w:r w:rsidRPr="00D72275">
        <w:rPr>
          <w:lang w:val="es-MX"/>
        </w:rPr>
        <w:t xml:space="preserve">Si </w:t>
      </w:r>
      <w:r w:rsidRPr="00CE10A6">
        <w:rPr>
          <w:rFonts w:cs="Times New Roman"/>
          <w:position w:val="-32"/>
          <w:lang w:val="es-ES_tradnl"/>
        </w:rPr>
        <w:object w:dxaOrig="1960" w:dyaOrig="720">
          <v:shape id="_x0000_i1051" type="#_x0000_t75" style="width:96.45pt;height:36pt" o:ole="">
            <v:imagedata r:id="rId27" o:title=""/>
          </v:shape>
          <o:OLEObject Type="Embed" ProgID="Equation.3" ShapeID="_x0000_i1051" DrawAspect="Content" ObjectID="_1340457678" r:id="rId53"/>
        </w:object>
      </w:r>
      <w:r>
        <w:rPr>
          <w:lang w:val="es-ES_tradnl"/>
        </w:rPr>
        <w:t xml:space="preserve">, entonces, basta devolverse en la demostración anterior, para decir que </w:t>
      </w:r>
      <w:r w:rsidRPr="004A27A6">
        <w:rPr>
          <w:rFonts w:cs="Times New Roman"/>
          <w:position w:val="-32"/>
          <w:lang w:val="es-ES_tradnl"/>
        </w:rPr>
        <w:object w:dxaOrig="3960" w:dyaOrig="760">
          <v:shape id="_x0000_i1052" type="#_x0000_t75" style="width:198.35pt;height:38.05pt" o:ole="">
            <v:imagedata r:id="rId54" o:title=""/>
          </v:shape>
          <o:OLEObject Type="Embed" ProgID="Equation.3" ShapeID="_x0000_i1052" DrawAspect="Content" ObjectID="_1340457679" r:id="rId55"/>
        </w:object>
      </w:r>
      <w:r>
        <w:rPr>
          <w:lang w:val="es-ES_tradnl"/>
        </w:rPr>
        <w:t>, es decir:</w:t>
      </w:r>
    </w:p>
    <w:p w:rsidR="00625312" w:rsidRDefault="00625312" w:rsidP="004E6DD9">
      <w:pPr>
        <w:pStyle w:val="Prrafodelista"/>
        <w:rPr>
          <w:rFonts w:cs="Times New Roman"/>
        </w:rPr>
      </w:pPr>
      <w:r w:rsidRPr="00321D0B">
        <w:rPr>
          <w:rFonts w:cs="Times New Roman"/>
          <w:position w:val="-14"/>
        </w:rPr>
        <w:object w:dxaOrig="4380" w:dyaOrig="400">
          <v:shape id="_x0000_i1053" type="#_x0000_t75" style="width:216.7pt;height:19.7pt" o:ole="">
            <v:imagedata r:id="rId31" o:title=""/>
          </v:shape>
          <o:OLEObject Type="Embed" ProgID="Equation.3" ShapeID="_x0000_i1053" DrawAspect="Content" ObjectID="_1340457680" r:id="rId56"/>
        </w:object>
      </w:r>
    </w:p>
    <w:p w:rsidR="00625312" w:rsidRDefault="00625312" w:rsidP="004E6DD9">
      <w:pPr>
        <w:pStyle w:val="Prrafodelista"/>
        <w:numPr>
          <w:ilvl w:val="0"/>
          <w:numId w:val="3"/>
        </w:numPr>
        <w:rPr>
          <w:lang w:val="es-MX"/>
        </w:rPr>
      </w:pPr>
      <w:r>
        <w:rPr>
          <w:lang w:val="es-MX"/>
        </w:rPr>
        <w:t xml:space="preserve">Si </w:t>
      </w:r>
      <w:r w:rsidRPr="002C6EF6">
        <w:rPr>
          <w:rFonts w:cs="Times New Roman"/>
          <w:position w:val="-12"/>
          <w:lang w:val="es-ES"/>
        </w:rPr>
        <w:object w:dxaOrig="2540" w:dyaOrig="360">
          <v:shape id="_x0000_i1054" type="#_x0000_t75" style="width:127pt;height:18.35pt" o:ole="">
            <v:imagedata r:id="rId57" o:title=""/>
          </v:shape>
          <o:OLEObject Type="Embed" ProgID="Equation.3" ShapeID="_x0000_i1054" DrawAspect="Content" ObjectID="_1340457681" r:id="rId58"/>
        </w:object>
      </w:r>
      <w:r w:rsidRPr="004A27A6">
        <w:rPr>
          <w:lang w:val="es-MX"/>
        </w:rPr>
        <w:t xml:space="preserve"> La </w:t>
      </w:r>
      <w:r w:rsidRPr="002C6EF6">
        <w:rPr>
          <w:rFonts w:cs="Times New Roman"/>
          <w:position w:val="-30"/>
          <w:lang w:val="es-ES"/>
        </w:rPr>
        <w:object w:dxaOrig="1700" w:dyaOrig="720">
          <v:shape id="_x0000_i1055" type="#_x0000_t75" style="width:84.25pt;height:36pt" o:ole="">
            <v:imagedata r:id="rId59" o:title=""/>
          </v:shape>
          <o:OLEObject Type="Embed" ProgID="Equation.3" ShapeID="_x0000_i1055" DrawAspect="Content" ObjectID="_1340457682" r:id="rId60"/>
        </w:object>
      </w:r>
      <w:r>
        <w:rPr>
          <w:lang w:val="es-MX"/>
        </w:rPr>
        <w:t xml:space="preserve"> será el ángulo que se forme por las líneas de mercado de capitales de la antigua frontera de mínima varianza y la nueva.</w:t>
      </w:r>
    </w:p>
    <w:p w:rsidR="00625312" w:rsidRDefault="00625312" w:rsidP="004E6DD9">
      <w:pPr>
        <w:pStyle w:val="Prrafodelista"/>
        <w:numPr>
          <w:ilvl w:val="0"/>
          <w:numId w:val="3"/>
        </w:numPr>
        <w:rPr>
          <w:lang w:val="es-MX"/>
        </w:rPr>
      </w:pPr>
      <w:r w:rsidRPr="008903C8">
        <w:rPr>
          <w:rFonts w:cs="Times New Roman"/>
          <w:position w:val="-30"/>
        </w:rPr>
        <w:object w:dxaOrig="3340" w:dyaOrig="720">
          <v:shape id="_x0000_i1056" type="#_x0000_t75" style="width:167.1pt;height:36pt" o:ole="">
            <v:imagedata r:id="rId61" o:title=""/>
          </v:shape>
          <o:OLEObject Type="Embed" ProgID="Equation.3" ShapeID="_x0000_i1056" DrawAspect="Content" ObjectID="_1340457683" r:id="rId62"/>
        </w:object>
      </w:r>
      <w:r>
        <w:t xml:space="preserve">, con </w:t>
      </w:r>
      <w:r w:rsidRPr="0015782C">
        <w:rPr>
          <w:rFonts w:cs="Times New Roman"/>
          <w:position w:val="-24"/>
        </w:rPr>
        <w:object w:dxaOrig="1960" w:dyaOrig="620">
          <v:shape id="_x0000_i1057" type="#_x0000_t75" style="width:96.45pt;height:30.55pt" o:ole="">
            <v:imagedata r:id="rId63" o:title=""/>
          </v:shape>
          <o:OLEObject Type="Embed" ProgID="Equation.3" ShapeID="_x0000_i1057" DrawAspect="Content" ObjectID="_1340457684" r:id="rId64"/>
        </w:object>
      </w:r>
      <w:r>
        <w:t xml:space="preserve"> y </w:t>
      </w:r>
      <w:r w:rsidRPr="008903C8">
        <w:rPr>
          <w:rFonts w:cs="Times New Roman"/>
          <w:position w:val="-34"/>
        </w:rPr>
        <w:object w:dxaOrig="5720" w:dyaOrig="780">
          <v:shape id="_x0000_i1058" type="#_x0000_t75" style="width:285.95pt;height:38.05pt" o:ole="">
            <v:imagedata r:id="rId65" o:title=""/>
          </v:shape>
          <o:OLEObject Type="Embed" ProgID="Equation.3" ShapeID="_x0000_i1058" DrawAspect="Content" ObjectID="_1340457685" r:id="rId66"/>
        </w:object>
      </w:r>
      <w:r>
        <w:rPr>
          <w:lang w:val="es-MX"/>
        </w:rPr>
        <w:t>, entonces:</w:t>
      </w:r>
    </w:p>
    <w:p w:rsidR="00625312" w:rsidRPr="00BC7BD5" w:rsidRDefault="00625312" w:rsidP="004E6DD9">
      <w:pPr>
        <w:pStyle w:val="Prrafodelista"/>
        <w:ind w:left="0"/>
        <w:rPr>
          <w:rFonts w:cs="Times New Roman"/>
          <w:lang w:val="es-MX"/>
        </w:rPr>
      </w:pPr>
      <w:r w:rsidRPr="00BC7BD5">
        <w:rPr>
          <w:rFonts w:cs="Times New Roman"/>
          <w:position w:val="-104"/>
          <w:lang w:val="es-ES"/>
        </w:rPr>
        <w:object w:dxaOrig="9820" w:dyaOrig="2320">
          <v:shape id="_x0000_i1059" type="#_x0000_t75" style="width:491.75pt;height:116.15pt" o:ole="">
            <v:imagedata r:id="rId67" o:title=""/>
          </v:shape>
          <o:OLEObject Type="Embed" ProgID="Equation.3" ShapeID="_x0000_i1059" DrawAspect="Content" ObjectID="_1340457686" r:id="rId68"/>
        </w:object>
      </w:r>
      <w:r>
        <w:rPr>
          <w:lang w:val="es-MX"/>
        </w:rPr>
        <w:t xml:space="preserve">Luego, </w:t>
      </w:r>
      <w:r w:rsidRPr="00BC7BD5">
        <w:rPr>
          <w:lang w:val="es-MX"/>
        </w:rPr>
        <w:t xml:space="preserve">como el </w:t>
      </w:r>
      <w:proofErr w:type="gramStart"/>
      <w:r w:rsidRPr="00BC7BD5">
        <w:rPr>
          <w:lang w:val="es-MX"/>
        </w:rPr>
        <w:t>ultimo</w:t>
      </w:r>
      <w:proofErr w:type="gramEnd"/>
      <w:r w:rsidRPr="00BC7BD5">
        <w:rPr>
          <w:lang w:val="es-MX"/>
        </w:rPr>
        <w:t xml:space="preserve"> termino es nulo por construcci</w:t>
      </w:r>
      <w:r>
        <w:rPr>
          <w:lang w:val="es-MX"/>
        </w:rPr>
        <w:t>ón y el primero es positivo por (d), se tiene.</w:t>
      </w:r>
    </w:p>
    <w:p w:rsidR="00625312" w:rsidRDefault="00625312" w:rsidP="004E6DD9">
      <w:pPr>
        <w:rPr>
          <w:b/>
          <w:bCs/>
          <w:sz w:val="28"/>
          <w:szCs w:val="28"/>
          <w:lang w:val="es-ES_tradnl"/>
        </w:rPr>
      </w:pPr>
      <w:r>
        <w:rPr>
          <w:b/>
          <w:bCs/>
          <w:sz w:val="28"/>
          <w:szCs w:val="28"/>
          <w:lang w:val="es-ES_tradnl"/>
        </w:rPr>
        <w:lastRenderedPageBreak/>
        <w:t>Pauta pregunta 2</w:t>
      </w:r>
    </w:p>
    <w:p w:rsidR="00625312" w:rsidRDefault="00625312" w:rsidP="004E6DD9">
      <w:pPr>
        <w:rPr>
          <w:b/>
          <w:bCs/>
          <w:lang w:val="es-ES_tradnl"/>
        </w:rPr>
      </w:pPr>
    </w:p>
    <w:p w:rsidR="00625312" w:rsidRPr="008903C8" w:rsidRDefault="00625312" w:rsidP="004E6DD9">
      <w:pPr>
        <w:rPr>
          <w:b/>
          <w:bCs/>
          <w:lang w:val="es-ES_tradnl"/>
        </w:rPr>
      </w:pPr>
      <w:r w:rsidRPr="008903C8">
        <w:rPr>
          <w:b/>
          <w:bCs/>
          <w:lang w:val="es-ES_tradnl"/>
        </w:rPr>
        <w:t>Pauta en EXCEL adjunto</w:t>
      </w:r>
    </w:p>
    <w:p w:rsidR="00625312" w:rsidRDefault="00625312" w:rsidP="00AD3DE7">
      <w:pPr>
        <w:rPr>
          <w:lang w:val="es-ES"/>
        </w:rPr>
      </w:pPr>
      <w:r w:rsidRPr="00AD3DE7">
        <w:rPr>
          <w:lang w:val="es-ES"/>
        </w:rPr>
        <w:br w:type="page"/>
      </w:r>
      <w:r>
        <w:rPr>
          <w:lang w:val="es-ES"/>
        </w:rPr>
        <w:lastRenderedPageBreak/>
        <w:t>Pauta pregunta 3</w:t>
      </w:r>
    </w:p>
    <w:p w:rsidR="00625312" w:rsidRDefault="00625312" w:rsidP="00AD3DE7">
      <w:pPr>
        <w:rPr>
          <w:lang w:val="es-ES_tradnl"/>
        </w:rPr>
      </w:pPr>
      <w:r>
        <w:rPr>
          <w:lang w:val="es-ES_tradnl"/>
        </w:rPr>
        <w:t>Conteste las siguientes preguntas o comente las siguientes oraciones.</w:t>
      </w:r>
    </w:p>
    <w:p w:rsidR="00625312" w:rsidRDefault="00625312" w:rsidP="00AD3DE7">
      <w:pPr>
        <w:numPr>
          <w:ilvl w:val="0"/>
          <w:numId w:val="6"/>
        </w:numPr>
        <w:rPr>
          <w:lang w:val="es-ES_tradnl"/>
        </w:rPr>
      </w:pPr>
      <w:r>
        <w:rPr>
          <w:lang w:val="es-ES_tradnl"/>
        </w:rPr>
        <w:t xml:space="preserve">Si una estructura de tasas a través de la cual </w:t>
      </w:r>
      <w:proofErr w:type="spellStart"/>
      <w:r>
        <w:rPr>
          <w:lang w:val="es-ES_tradnl"/>
        </w:rPr>
        <w:t>ud.</w:t>
      </w:r>
      <w:proofErr w:type="spellEnd"/>
      <w:r>
        <w:rPr>
          <w:lang w:val="es-ES_tradnl"/>
        </w:rPr>
        <w:t xml:space="preserve"> puede prestar o pedir prestado, presenta tasas forwards negativas, entonces existen oportunidades de arbitraje.</w:t>
      </w:r>
    </w:p>
    <w:p w:rsidR="00625312" w:rsidRDefault="00625312" w:rsidP="00F70E96">
      <w:pPr>
        <w:rPr>
          <w:lang w:val="es-ES_tradnl"/>
        </w:rPr>
      </w:pPr>
      <w:r>
        <w:rPr>
          <w:lang w:val="es-ES_tradnl"/>
        </w:rPr>
        <w:t>Verdadero, tasa forward negativa significaría que me conviene pedir prestado a un plazo largo e invertir a uno corto, y tener suficiente para pagar el crédito y quedar con una ganancia positiva en el proceso.</w:t>
      </w:r>
    </w:p>
    <w:p w:rsidR="00625312" w:rsidRDefault="00625312" w:rsidP="00F70E96">
      <w:pPr>
        <w:rPr>
          <w:lang w:val="es-ES_tradnl"/>
        </w:rPr>
      </w:pPr>
    </w:p>
    <w:p w:rsidR="00625312" w:rsidRDefault="00625312" w:rsidP="00AD3DE7">
      <w:pPr>
        <w:numPr>
          <w:ilvl w:val="0"/>
          <w:numId w:val="6"/>
        </w:numPr>
        <w:rPr>
          <w:lang w:val="es-ES_tradnl"/>
        </w:rPr>
      </w:pPr>
      <w:r>
        <w:rPr>
          <w:lang w:val="es-ES_tradnl"/>
        </w:rPr>
        <w:t>Una empresa que paga dividendos constantes e iguales a D todos los años, con una tasa de rentabilidad del capital de r también constante, ¿qué efecto, si alguno, tiene sobre el precio de su acción el dejar de pagar el dividendo del próximo año?</w:t>
      </w:r>
    </w:p>
    <w:p w:rsidR="00625312" w:rsidRDefault="00625312" w:rsidP="00F70E96">
      <w:pPr>
        <w:rPr>
          <w:lang w:val="es-ES_tradnl"/>
        </w:rPr>
      </w:pPr>
      <w:r>
        <w:rPr>
          <w:lang w:val="es-ES_tradnl"/>
        </w:rPr>
        <w:t>P=D/r, luego si postergo un dividendo, P’=D/r – D</w:t>
      </w:r>
      <w:proofErr w:type="gramStart"/>
      <w:r>
        <w:rPr>
          <w:lang w:val="es-ES_tradnl"/>
        </w:rPr>
        <w:t>/(</w:t>
      </w:r>
      <w:proofErr w:type="gramEnd"/>
      <w:r>
        <w:rPr>
          <w:lang w:val="es-ES_tradnl"/>
        </w:rPr>
        <w:t>1+r) = D/r(1+r), es decir el precio cae en D/(1+r)</w:t>
      </w:r>
    </w:p>
    <w:p w:rsidR="00625312" w:rsidRDefault="00625312" w:rsidP="00F70E96">
      <w:pPr>
        <w:rPr>
          <w:lang w:val="es-ES_tradnl"/>
        </w:rPr>
      </w:pPr>
    </w:p>
    <w:p w:rsidR="00625312" w:rsidRDefault="00625312" w:rsidP="00AD3DE7">
      <w:pPr>
        <w:numPr>
          <w:ilvl w:val="0"/>
          <w:numId w:val="6"/>
        </w:numPr>
        <w:rPr>
          <w:lang w:val="es-ES_tradnl"/>
        </w:rPr>
      </w:pPr>
      <w:r>
        <w:rPr>
          <w:lang w:val="es-ES_tradnl"/>
        </w:rPr>
        <w:t xml:space="preserve">Si </w:t>
      </w:r>
      <w:proofErr w:type="spellStart"/>
      <w:r>
        <w:rPr>
          <w:lang w:val="es-ES_tradnl"/>
        </w:rPr>
        <w:t>ud.</w:t>
      </w:r>
      <w:proofErr w:type="spellEnd"/>
      <w:r>
        <w:rPr>
          <w:lang w:val="es-ES_tradnl"/>
        </w:rPr>
        <w:t xml:space="preserve"> compró hace una semana atrás un bono </w:t>
      </w:r>
      <w:proofErr w:type="spellStart"/>
      <w:r>
        <w:rPr>
          <w:lang w:val="es-ES_tradnl"/>
        </w:rPr>
        <w:t>bullet</w:t>
      </w:r>
      <w:proofErr w:type="spellEnd"/>
      <w:r>
        <w:rPr>
          <w:lang w:val="es-ES_tradnl"/>
        </w:rPr>
        <w:t xml:space="preserve"> de duración modificada igual a 5 años que paga cupones a una tasa anual de 2%, y pagó valor par (</w:t>
      </w:r>
      <w:proofErr w:type="spellStart"/>
      <w:r>
        <w:rPr>
          <w:lang w:val="es-ES_tradnl"/>
        </w:rPr>
        <w:t>i.e.</w:t>
      </w:r>
      <w:proofErr w:type="spellEnd"/>
      <w:r>
        <w:rPr>
          <w:lang w:val="es-ES_tradnl"/>
        </w:rPr>
        <w:t xml:space="preserve"> 100). Si el precio hoy es de 95, estime la TIR del bono.</w:t>
      </w:r>
    </w:p>
    <w:p w:rsidR="00625312" w:rsidRDefault="00625312" w:rsidP="00F70E96">
      <w:pPr>
        <w:rPr>
          <w:lang w:val="es-ES_tradnl"/>
        </w:rPr>
      </w:pPr>
      <w:r>
        <w:rPr>
          <w:lang w:val="es-ES_tradnl"/>
        </w:rPr>
        <w:t xml:space="preserve">Si lo compró a valor </w:t>
      </w:r>
      <w:proofErr w:type="spellStart"/>
      <w:r>
        <w:rPr>
          <w:lang w:val="es-ES_tradnl"/>
        </w:rPr>
        <w:t>par</w:t>
      </w:r>
      <w:proofErr w:type="spellEnd"/>
      <w:r>
        <w:rPr>
          <w:lang w:val="es-ES_tradnl"/>
        </w:rPr>
        <w:t xml:space="preserve"> entonces la TIR hace una semana era de 2%, Luego si DP% = -5% = -5*(TIR-2%) </w:t>
      </w:r>
      <w:r w:rsidRPr="00F70E96">
        <w:rPr>
          <w:lang w:val="es-ES_tradnl"/>
        </w:rPr>
        <w:sym w:font="Wingdings" w:char="F0E0"/>
      </w:r>
      <w:r>
        <w:rPr>
          <w:lang w:val="es-ES_tradnl"/>
        </w:rPr>
        <w:t xml:space="preserve"> TIR = 3%</w:t>
      </w:r>
    </w:p>
    <w:p w:rsidR="00625312" w:rsidRDefault="00625312" w:rsidP="00F70E96">
      <w:pPr>
        <w:rPr>
          <w:lang w:val="es-ES_tradnl"/>
        </w:rPr>
      </w:pPr>
    </w:p>
    <w:p w:rsidR="00625312" w:rsidRDefault="00625312" w:rsidP="00AD3DE7">
      <w:pPr>
        <w:numPr>
          <w:ilvl w:val="0"/>
          <w:numId w:val="6"/>
        </w:numPr>
        <w:rPr>
          <w:lang w:val="es-ES_tradnl"/>
        </w:rPr>
      </w:pPr>
      <w:r>
        <w:rPr>
          <w:lang w:val="es-ES_tradnl"/>
        </w:rPr>
        <w:t>Comente: de acuerdo al CAPM, si solamente los retornos esperados de los activos se alteran, entonces la cartera de mínimo riesgo, (que no incluye el activo libre de riesgo), no cambia.</w:t>
      </w:r>
    </w:p>
    <w:p w:rsidR="00625312" w:rsidRDefault="00625312" w:rsidP="00CC6C6D">
      <w:pPr>
        <w:rPr>
          <w:lang w:val="es-ES_tradnl"/>
        </w:rPr>
      </w:pPr>
      <w:r>
        <w:rPr>
          <w:lang w:val="es-ES_tradnl"/>
        </w:rPr>
        <w:t xml:space="preserve">Efectivamente, ya que la cartera de mínimo riesgo se escoge minimizando </w:t>
      </w:r>
      <w:proofErr w:type="spellStart"/>
      <w:r>
        <w:rPr>
          <w:lang w:val="es-ES_tradnl"/>
        </w:rPr>
        <w:t>w</w:t>
      </w:r>
      <w:r w:rsidRPr="00CC6C6D">
        <w:rPr>
          <w:vertAlign w:val="superscript"/>
          <w:lang w:val="es-ES_tradnl"/>
        </w:rPr>
        <w:t>T</w:t>
      </w:r>
      <w:r w:rsidRPr="00CC6C6D">
        <w:rPr>
          <w:rFonts w:ascii="Symbol" w:hAnsi="Symbol" w:cs="Symbol"/>
          <w:lang w:val="es-ES_tradnl"/>
        </w:rPr>
        <w:t></w:t>
      </w:r>
      <w:r>
        <w:rPr>
          <w:lang w:val="es-ES_tradnl"/>
        </w:rPr>
        <w:t>w</w:t>
      </w:r>
      <w:proofErr w:type="spellEnd"/>
      <w:r>
        <w:rPr>
          <w:lang w:val="es-ES_tradnl"/>
        </w:rPr>
        <w:t xml:space="preserve"> </w:t>
      </w:r>
      <w:proofErr w:type="spellStart"/>
      <w:r>
        <w:rPr>
          <w:lang w:val="es-ES_tradnl"/>
        </w:rPr>
        <w:t>s.a</w:t>
      </w:r>
      <w:proofErr w:type="spellEnd"/>
      <w:r>
        <w:rPr>
          <w:lang w:val="es-ES_tradnl"/>
        </w:rPr>
        <w:t xml:space="preserve"> w</w:t>
      </w:r>
      <w:r w:rsidRPr="00CC6C6D">
        <w:rPr>
          <w:vertAlign w:val="superscript"/>
          <w:lang w:val="es-ES_tradnl"/>
        </w:rPr>
        <w:t>T</w:t>
      </w:r>
      <w:r>
        <w:rPr>
          <w:lang w:val="es-ES_tradnl"/>
        </w:rPr>
        <w:t>1 = 0, por lo que la solución no depende de los retornos esperados.</w:t>
      </w:r>
    </w:p>
    <w:p w:rsidR="00625312" w:rsidRDefault="00625312" w:rsidP="00CC6C6D">
      <w:pPr>
        <w:rPr>
          <w:lang w:val="es-ES_tradnl"/>
        </w:rPr>
      </w:pPr>
    </w:p>
    <w:p w:rsidR="00625312" w:rsidRDefault="00625312" w:rsidP="00AD3DE7">
      <w:pPr>
        <w:numPr>
          <w:ilvl w:val="0"/>
          <w:numId w:val="6"/>
        </w:numPr>
        <w:rPr>
          <w:lang w:val="es-ES_tradnl"/>
        </w:rPr>
      </w:pPr>
      <w:r>
        <w:rPr>
          <w:lang w:val="es-ES_tradnl"/>
        </w:rPr>
        <w:t xml:space="preserve">Explique claramente cómo estimaría el </w:t>
      </w:r>
      <w:proofErr w:type="spellStart"/>
      <w:r>
        <w:rPr>
          <w:lang w:val="es-ES_tradnl"/>
        </w:rPr>
        <w:t>Wacc</w:t>
      </w:r>
      <w:proofErr w:type="spellEnd"/>
      <w:r>
        <w:rPr>
          <w:lang w:val="es-ES_tradnl"/>
        </w:rPr>
        <w:t xml:space="preserve"> de una empresa que no transa en Bolsa (puede usar un ejemplo basándose en </w:t>
      </w:r>
      <w:proofErr w:type="spellStart"/>
      <w:r>
        <w:rPr>
          <w:lang w:val="es-ES_tradnl"/>
        </w:rPr>
        <w:t>Codelco</w:t>
      </w:r>
      <w:proofErr w:type="spellEnd"/>
      <w:r>
        <w:rPr>
          <w:lang w:val="es-ES_tradnl"/>
        </w:rPr>
        <w:t xml:space="preserve"> o </w:t>
      </w:r>
      <w:proofErr w:type="spellStart"/>
      <w:r>
        <w:rPr>
          <w:lang w:val="es-ES_tradnl"/>
        </w:rPr>
        <w:t>Enap</w:t>
      </w:r>
      <w:proofErr w:type="spellEnd"/>
      <w:r>
        <w:rPr>
          <w:lang w:val="es-ES_tradnl"/>
        </w:rPr>
        <w:t>, por ejemplo)</w:t>
      </w:r>
    </w:p>
    <w:p w:rsidR="00625312" w:rsidRDefault="00625312" w:rsidP="00CC6C6D">
      <w:pPr>
        <w:rPr>
          <w:lang w:val="es-ES_tradnl"/>
        </w:rPr>
      </w:pPr>
      <w:r>
        <w:rPr>
          <w:lang w:val="es-ES_tradnl"/>
        </w:rPr>
        <w:t xml:space="preserve">Determinar retornos de </w:t>
      </w:r>
      <w:proofErr w:type="gramStart"/>
      <w:r>
        <w:rPr>
          <w:lang w:val="es-ES_tradnl"/>
        </w:rPr>
        <w:t>deuda ,</w:t>
      </w:r>
      <w:proofErr w:type="gramEnd"/>
      <w:r>
        <w:rPr>
          <w:lang w:val="es-ES_tradnl"/>
        </w:rPr>
        <w:t xml:space="preserve"> valor de mercado de deuda, identificar deuda que presenta escudo tributario de la que no, estimar valor de mercado del patrimonio, estimar retorno exigido del patrimonio, a través de empresas similares (obtener betas de empresas similares </w:t>
      </w:r>
      <w:proofErr w:type="spellStart"/>
      <w:r>
        <w:rPr>
          <w:lang w:val="es-ES_tradnl"/>
        </w:rPr>
        <w:t>desapalancando</w:t>
      </w:r>
      <w:proofErr w:type="spellEnd"/>
      <w:r>
        <w:rPr>
          <w:lang w:val="es-ES_tradnl"/>
        </w:rPr>
        <w:t xml:space="preserve"> y corrigiendo por efecto de impuesto a la renta) y luego ponderar.</w:t>
      </w:r>
    </w:p>
    <w:p w:rsidR="00625312" w:rsidRDefault="00625312" w:rsidP="00AD3DE7">
      <w:pPr>
        <w:numPr>
          <w:ilvl w:val="0"/>
          <w:numId w:val="6"/>
        </w:numPr>
        <w:rPr>
          <w:lang w:val="es-ES_tradnl"/>
        </w:rPr>
      </w:pPr>
      <w:r>
        <w:rPr>
          <w:lang w:val="es-ES_tradnl"/>
        </w:rPr>
        <w:lastRenderedPageBreak/>
        <w:t xml:space="preserve">Explique por qué </w:t>
      </w:r>
      <w:proofErr w:type="gramStart"/>
      <w:r>
        <w:rPr>
          <w:lang w:val="es-ES_tradnl"/>
        </w:rPr>
        <w:t>el</w:t>
      </w:r>
      <w:proofErr w:type="gramEnd"/>
      <w:r>
        <w:rPr>
          <w:lang w:val="es-ES_tradnl"/>
        </w:rPr>
        <w:t xml:space="preserve"> vega de una opción es siempre positivo.</w:t>
      </w:r>
    </w:p>
    <w:p w:rsidR="00625312" w:rsidRDefault="00625312" w:rsidP="00AD3DE7">
      <w:pPr>
        <w:rPr>
          <w:lang w:val="es-ES_tradnl"/>
        </w:rPr>
      </w:pPr>
      <w:proofErr w:type="gramStart"/>
      <w:r>
        <w:rPr>
          <w:lang w:val="es-ES_tradnl"/>
        </w:rPr>
        <w:t>El</w:t>
      </w:r>
      <w:proofErr w:type="gramEnd"/>
      <w:r>
        <w:rPr>
          <w:lang w:val="es-ES_tradnl"/>
        </w:rPr>
        <w:t xml:space="preserve"> vega mide el cambio del precio de la opción a cambios en la volatilidad, y un aumento de la volatilidad en la medida que el mínimo posible de compensaciones es cero, aumenta siempre el valor de la opción, por lo que el vega es siempre positivo.</w:t>
      </w:r>
    </w:p>
    <w:p w:rsidR="00625312" w:rsidRDefault="00625312">
      <w:pPr>
        <w:rPr>
          <w:lang w:val="es-ES_tradnl"/>
        </w:rPr>
      </w:pPr>
      <w:r>
        <w:rPr>
          <w:lang w:val="es-ES_tradnl"/>
        </w:rPr>
        <w:br w:type="page"/>
      </w:r>
      <w:r>
        <w:rPr>
          <w:lang w:val="es-ES_tradnl"/>
        </w:rPr>
        <w:lastRenderedPageBreak/>
        <w:t>Pauta Pregunta 4</w:t>
      </w:r>
    </w:p>
    <w:p w:rsidR="00625312" w:rsidRDefault="00625312" w:rsidP="00AD3DE7">
      <w:pPr>
        <w:ind w:left="360"/>
        <w:rPr>
          <w:lang w:val="es-ES_tradnl"/>
        </w:rPr>
      </w:pPr>
      <w:r>
        <w:rPr>
          <w:lang w:val="es-ES_tradnl"/>
        </w:rPr>
        <w:t xml:space="preserve">Suponga que Ud. vende una opción </w:t>
      </w:r>
      <w:proofErr w:type="spellStart"/>
      <w:r>
        <w:rPr>
          <w:lang w:val="es-ES_tradnl"/>
        </w:rPr>
        <w:t>put</w:t>
      </w:r>
      <w:proofErr w:type="spellEnd"/>
      <w:r>
        <w:rPr>
          <w:lang w:val="es-ES_tradnl"/>
        </w:rPr>
        <w:t xml:space="preserve"> americana sobre una acción de </w:t>
      </w:r>
      <w:proofErr w:type="spellStart"/>
      <w:r>
        <w:rPr>
          <w:lang w:val="es-ES_tradnl"/>
        </w:rPr>
        <w:t>Citibank</w:t>
      </w:r>
      <w:proofErr w:type="spellEnd"/>
      <w:r>
        <w:rPr>
          <w:lang w:val="es-ES_tradnl"/>
        </w:rPr>
        <w:t>, en 3 meses más, con un precio de ejercicio igual a 3,8 dólares. El precio de la acción es de 4 dólares, su volatilidad mensual es de 6,5%, y la tasa libre de riesgo anual, compuesta mensualmente, es de 3%.</w:t>
      </w:r>
    </w:p>
    <w:p w:rsidR="00625312" w:rsidRDefault="00625312" w:rsidP="00AD3DE7">
      <w:pPr>
        <w:ind w:left="720"/>
        <w:rPr>
          <w:lang w:val="es-ES_tradnl"/>
        </w:rPr>
      </w:pPr>
      <w:r>
        <w:rPr>
          <w:lang w:val="es-ES_tradnl"/>
        </w:rPr>
        <w:t xml:space="preserve">I Construya el árbol mensual de precios de la acción de </w:t>
      </w:r>
      <w:proofErr w:type="spellStart"/>
      <w:r>
        <w:rPr>
          <w:lang w:val="es-ES_tradnl"/>
        </w:rPr>
        <w:t>Citibank</w:t>
      </w:r>
      <w:proofErr w:type="spellEnd"/>
      <w:r>
        <w:rPr>
          <w:lang w:val="es-ES_tradnl"/>
        </w:rPr>
        <w:t xml:space="preserve"> para los próximos 4 meses, y estime las probabilidades neutras al riesgo.</w:t>
      </w:r>
    </w:p>
    <w:p w:rsidR="00625312" w:rsidRDefault="00625312" w:rsidP="00AD3DE7">
      <w:pPr>
        <w:rPr>
          <w:lang w:val="es-ES_tradnl"/>
        </w:rPr>
      </w:pPr>
      <w:r>
        <w:rPr>
          <w:lang w:val="es-ES_tradnl"/>
        </w:rPr>
        <w:t xml:space="preserve">u= </w:t>
      </w:r>
      <w:proofErr w:type="spellStart"/>
      <w:proofErr w:type="gramStart"/>
      <w:r>
        <w:rPr>
          <w:lang w:val="es-ES_tradnl"/>
        </w:rPr>
        <w:t>exp</w:t>
      </w:r>
      <w:proofErr w:type="spellEnd"/>
      <w:r>
        <w:rPr>
          <w:lang w:val="es-ES_tradnl"/>
        </w:rPr>
        <w:t>(</w:t>
      </w:r>
      <w:proofErr w:type="gramEnd"/>
      <w:r>
        <w:rPr>
          <w:lang w:val="es-ES_tradnl"/>
        </w:rPr>
        <w:t>6,5%)=</w:t>
      </w:r>
      <w:r w:rsidRPr="00361E3F">
        <w:rPr>
          <w:rFonts w:ascii="Arial" w:hAnsi="Arial" w:cs="Arial"/>
          <w:sz w:val="20"/>
          <w:szCs w:val="20"/>
          <w:lang w:val="es-MX"/>
        </w:rPr>
        <w:t xml:space="preserve"> 1,06715902</w:t>
      </w:r>
    </w:p>
    <w:p w:rsidR="00625312" w:rsidRDefault="00625312" w:rsidP="00AD3DE7">
      <w:pPr>
        <w:rPr>
          <w:lang w:val="es-ES_tradnl"/>
        </w:rPr>
      </w:pPr>
      <w:r>
        <w:rPr>
          <w:lang w:val="es-ES_tradnl"/>
        </w:rPr>
        <w:t>d=1/u =</w:t>
      </w:r>
      <w:r w:rsidRPr="00361E3F">
        <w:rPr>
          <w:rFonts w:ascii="Arial" w:hAnsi="Arial" w:cs="Arial"/>
          <w:sz w:val="20"/>
          <w:szCs w:val="20"/>
          <w:lang w:val="es-MX"/>
        </w:rPr>
        <w:t xml:space="preserve"> 0,93706746</w:t>
      </w:r>
    </w:p>
    <w:p w:rsidR="00625312" w:rsidRDefault="00625312" w:rsidP="00AD3DE7">
      <w:pPr>
        <w:rPr>
          <w:lang w:val="es-ES_tradnl"/>
        </w:rPr>
      </w:pPr>
      <w:r>
        <w:rPr>
          <w:lang w:val="es-ES_tradnl"/>
        </w:rPr>
        <w:t>q= (R-d)</w:t>
      </w:r>
      <w:proofErr w:type="gramStart"/>
      <w:r>
        <w:rPr>
          <w:lang w:val="es-ES_tradnl"/>
        </w:rPr>
        <w:t>/(</w:t>
      </w:r>
      <w:proofErr w:type="gramEnd"/>
      <w:r>
        <w:rPr>
          <w:lang w:val="es-ES_tradnl"/>
        </w:rPr>
        <w:t xml:space="preserve">u-d) = </w:t>
      </w:r>
      <w:r w:rsidRPr="00361E3F">
        <w:rPr>
          <w:rFonts w:ascii="Arial" w:hAnsi="Arial" w:cs="Arial"/>
          <w:sz w:val="20"/>
          <w:szCs w:val="20"/>
          <w:lang w:val="es-MX"/>
        </w:rPr>
        <w:t>0,48394789</w:t>
      </w:r>
    </w:p>
    <w:tbl>
      <w:tblPr>
        <w:tblW w:w="4800" w:type="dxa"/>
        <w:tblInd w:w="56" w:type="dxa"/>
        <w:tblCellMar>
          <w:left w:w="70" w:type="dxa"/>
          <w:right w:w="70" w:type="dxa"/>
        </w:tblCellMar>
        <w:tblLook w:val="0000"/>
      </w:tblPr>
      <w:tblGrid>
        <w:gridCol w:w="1200"/>
        <w:gridCol w:w="1200"/>
        <w:gridCol w:w="1200"/>
        <w:gridCol w:w="1200"/>
      </w:tblGrid>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4,86124395</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4,55531353</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4,2686361</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4,2686361</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4</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3,74826985</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3,74826985</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3,51238172</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3,29133863</w:t>
            </w:r>
          </w:p>
        </w:tc>
      </w:tr>
    </w:tbl>
    <w:p w:rsidR="00625312" w:rsidRDefault="00625312" w:rsidP="00AD3DE7">
      <w:pPr>
        <w:rPr>
          <w:lang w:val="es-ES_tradnl"/>
        </w:rPr>
      </w:pPr>
    </w:p>
    <w:p w:rsidR="00625312" w:rsidRDefault="00625312" w:rsidP="00AD3DE7">
      <w:pPr>
        <w:ind w:firstLine="708"/>
        <w:rPr>
          <w:lang w:val="es-ES_tradnl"/>
        </w:rPr>
      </w:pPr>
      <w:r>
        <w:rPr>
          <w:lang w:val="es-ES_tradnl"/>
        </w:rPr>
        <w:t>II Estime el precio teórico hoy de la opción PUT que recibirá.</w:t>
      </w:r>
    </w:p>
    <w:p w:rsidR="00625312" w:rsidRDefault="00625312" w:rsidP="00AD3DE7">
      <w:pPr>
        <w:ind w:firstLine="708"/>
        <w:rPr>
          <w:lang w:val="es-ES_tradnl"/>
        </w:rPr>
      </w:pPr>
      <w:r>
        <w:rPr>
          <w:lang w:val="es-ES_tradnl"/>
        </w:rPr>
        <w:t>Construyendo el árbol se tiene que:</w:t>
      </w:r>
    </w:p>
    <w:p w:rsidR="00625312" w:rsidRDefault="00625312" w:rsidP="00AD3DE7">
      <w:pPr>
        <w:ind w:firstLine="708"/>
        <w:rPr>
          <w:lang w:val="es-ES_tradnl"/>
        </w:rPr>
      </w:pPr>
    </w:p>
    <w:tbl>
      <w:tblPr>
        <w:tblW w:w="4800" w:type="dxa"/>
        <w:tblInd w:w="56" w:type="dxa"/>
        <w:tblCellMar>
          <w:left w:w="70" w:type="dxa"/>
          <w:right w:w="70" w:type="dxa"/>
        </w:tblCellMar>
        <w:tblLook w:val="0000"/>
      </w:tblPr>
      <w:tblGrid>
        <w:gridCol w:w="1200"/>
        <w:gridCol w:w="1200"/>
        <w:gridCol w:w="1200"/>
        <w:gridCol w:w="1200"/>
      </w:tblGrid>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0,01377556</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0,0899247</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0,02669478</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0,16134087</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0,05173015</w:t>
            </w: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0,28761828</w:t>
            </w: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r>
      <w:tr w:rsidR="00625312" w:rsidRPr="008008AD" w:rsidTr="008008AD">
        <w:trPr>
          <w:trHeight w:val="255"/>
        </w:trPr>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rPr>
                <w:rFonts w:ascii="Arial" w:eastAsia="Times New Roman" w:hAnsi="Arial"/>
                <w:sz w:val="20"/>
                <w:szCs w:val="20"/>
                <w:lang w:val="es-ES" w:eastAsia="es-ES"/>
              </w:rPr>
            </w:pPr>
          </w:p>
        </w:tc>
        <w:tc>
          <w:tcPr>
            <w:tcW w:w="1200" w:type="dxa"/>
            <w:tcBorders>
              <w:top w:val="nil"/>
              <w:left w:val="nil"/>
              <w:bottom w:val="nil"/>
              <w:right w:val="nil"/>
            </w:tcBorders>
            <w:noWrap/>
            <w:vAlign w:val="bottom"/>
          </w:tcPr>
          <w:p w:rsidR="00625312" w:rsidRPr="008008AD" w:rsidRDefault="00625312" w:rsidP="008008AD">
            <w:pPr>
              <w:spacing w:after="0" w:line="240" w:lineRule="auto"/>
              <w:jc w:val="right"/>
              <w:rPr>
                <w:rFonts w:ascii="Arial" w:eastAsia="Times New Roman" w:hAnsi="Arial" w:cs="Arial"/>
                <w:sz w:val="20"/>
                <w:szCs w:val="20"/>
                <w:lang w:val="es-ES" w:eastAsia="es-ES"/>
              </w:rPr>
            </w:pPr>
            <w:r w:rsidRPr="008008AD">
              <w:rPr>
                <w:rFonts w:ascii="Arial" w:eastAsia="Times New Roman" w:hAnsi="Arial" w:cs="Arial"/>
                <w:sz w:val="20"/>
                <w:szCs w:val="20"/>
                <w:lang w:val="es-ES" w:eastAsia="es-ES"/>
              </w:rPr>
              <w:t>0,50866137</w:t>
            </w:r>
          </w:p>
        </w:tc>
      </w:tr>
    </w:tbl>
    <w:p w:rsidR="00625312" w:rsidRDefault="00625312" w:rsidP="00AD3DE7">
      <w:pPr>
        <w:ind w:firstLine="708"/>
        <w:rPr>
          <w:lang w:val="es-ES_tradnl"/>
        </w:rPr>
      </w:pPr>
    </w:p>
    <w:p w:rsidR="00625312" w:rsidRDefault="00625312" w:rsidP="00AD3DE7">
      <w:pPr>
        <w:ind w:firstLine="708"/>
        <w:rPr>
          <w:lang w:val="es-ES_tradnl"/>
        </w:rPr>
      </w:pPr>
    </w:p>
    <w:p w:rsidR="00625312" w:rsidRDefault="00625312" w:rsidP="00AD3DE7">
      <w:pPr>
        <w:ind w:firstLine="708"/>
        <w:rPr>
          <w:lang w:val="es-ES_tradnl"/>
        </w:rPr>
      </w:pPr>
    </w:p>
    <w:p w:rsidR="00625312" w:rsidRDefault="00625312" w:rsidP="00AD3DE7">
      <w:pPr>
        <w:ind w:left="720"/>
        <w:rPr>
          <w:lang w:val="es-ES_tradnl"/>
        </w:rPr>
      </w:pPr>
      <w:r>
        <w:rPr>
          <w:lang w:val="es-ES_tradnl"/>
        </w:rPr>
        <w:t xml:space="preserve">III Suponga que </w:t>
      </w:r>
      <w:proofErr w:type="spellStart"/>
      <w:r>
        <w:rPr>
          <w:lang w:val="es-ES_tradnl"/>
        </w:rPr>
        <w:t>Ud</w:t>
      </w:r>
      <w:proofErr w:type="spellEnd"/>
      <w:r>
        <w:rPr>
          <w:lang w:val="es-ES_tradnl"/>
        </w:rPr>
        <w:t xml:space="preserve"> vendió 10 mil opciones al precio estimado en II). Además Ud. estima que si el precio de la acción sube de 4 a 4,1 dólares, el precio de la opción Americana bajará en 3 centavos. Explique claramente qué estrategia seguiría para dejar inmune su cartera de opciones a variaciones del precio de la acción. </w:t>
      </w:r>
    </w:p>
    <w:p w:rsidR="00625312" w:rsidRDefault="00625312" w:rsidP="00AD3DE7">
      <w:pPr>
        <w:ind w:left="720"/>
        <w:rPr>
          <w:lang w:val="es-ES_tradnl"/>
        </w:rPr>
      </w:pPr>
      <w:r>
        <w:rPr>
          <w:lang w:val="es-ES_tradnl"/>
        </w:rPr>
        <w:lastRenderedPageBreak/>
        <w:t xml:space="preserve">Lo que queremos es que queremos encontrar una cartera de cobertura tal que  </w:t>
      </w:r>
      <w:proofErr w:type="spellStart"/>
      <w:r>
        <w:rPr>
          <w:lang w:val="es-ES_tradnl"/>
        </w:rPr>
        <w:t>DOpciones</w:t>
      </w:r>
      <w:proofErr w:type="spellEnd"/>
      <w:r>
        <w:rPr>
          <w:lang w:val="es-ES_tradnl"/>
        </w:rPr>
        <w:t xml:space="preserve"> + </w:t>
      </w:r>
      <w:proofErr w:type="spellStart"/>
      <w:r>
        <w:rPr>
          <w:lang w:val="es-ES_tradnl"/>
        </w:rPr>
        <w:t>DCartera</w:t>
      </w:r>
      <w:proofErr w:type="spellEnd"/>
      <w:r>
        <w:rPr>
          <w:lang w:val="es-ES_tradnl"/>
        </w:rPr>
        <w:t xml:space="preserve"> Cobertura = 0.</w:t>
      </w:r>
    </w:p>
    <w:p w:rsidR="00625312" w:rsidRDefault="00625312" w:rsidP="00AD3DE7">
      <w:pPr>
        <w:ind w:left="720"/>
        <w:rPr>
          <w:lang w:val="es-ES_tradnl"/>
        </w:rPr>
      </w:pPr>
      <w:r>
        <w:rPr>
          <w:lang w:val="es-ES_tradnl"/>
        </w:rPr>
        <w:t xml:space="preserve">Notar que Delta = = </w:t>
      </w:r>
      <w:proofErr w:type="spellStart"/>
      <w:r>
        <w:rPr>
          <w:lang w:val="es-ES_tradnl"/>
        </w:rPr>
        <w:t>Dopciones</w:t>
      </w:r>
      <w:proofErr w:type="spellEnd"/>
      <w:r>
        <w:rPr>
          <w:lang w:val="es-ES_tradnl"/>
        </w:rPr>
        <w:t xml:space="preserve"> /</w:t>
      </w:r>
      <w:proofErr w:type="spellStart"/>
      <w:r>
        <w:rPr>
          <w:lang w:val="es-ES_tradnl"/>
        </w:rPr>
        <w:t>DPrecio</w:t>
      </w:r>
      <w:proofErr w:type="spellEnd"/>
      <w:r>
        <w:rPr>
          <w:lang w:val="es-ES_tradnl"/>
        </w:rPr>
        <w:t xml:space="preserve"> </w:t>
      </w:r>
      <w:proofErr w:type="spellStart"/>
      <w:r>
        <w:rPr>
          <w:lang w:val="es-ES_tradnl"/>
        </w:rPr>
        <w:t>Citi</w:t>
      </w:r>
      <w:proofErr w:type="spellEnd"/>
      <w:r>
        <w:rPr>
          <w:lang w:val="es-ES_tradnl"/>
        </w:rPr>
        <w:t xml:space="preserve"> =  -0,03/0,1=-0,3. Luego, como la cartera que tengo es 10.000 opciones, entonces si compro 10.000x0,3 = 3.000 dólares en acciones, lo que tendré es que por cada dólar que suba la acción perderé 3.000 dólares en el valor de la opción, pero ganaré 3.000 dólares por el mejor precio de la acción. Es decir para estar cubierto necesito comprar 750 acciones de </w:t>
      </w:r>
      <w:proofErr w:type="spellStart"/>
      <w:r>
        <w:rPr>
          <w:lang w:val="es-ES_tradnl"/>
        </w:rPr>
        <w:t>Citibank</w:t>
      </w:r>
      <w:proofErr w:type="spellEnd"/>
      <w:r>
        <w:rPr>
          <w:lang w:val="es-ES_tradnl"/>
        </w:rPr>
        <w:t>.</w:t>
      </w:r>
    </w:p>
    <w:p w:rsidR="00625312" w:rsidRDefault="00625312">
      <w:pPr>
        <w:rPr>
          <w:lang w:val="es-ES_tradnl"/>
        </w:rPr>
      </w:pPr>
    </w:p>
    <w:p w:rsidR="00625312" w:rsidRDefault="00625312">
      <w:pPr>
        <w:rPr>
          <w:lang w:val="es-ES_tradnl"/>
        </w:rPr>
      </w:pPr>
    </w:p>
    <w:p w:rsidR="00625312" w:rsidRDefault="00625312">
      <w:pPr>
        <w:rPr>
          <w:lang w:val="es-ES_tradnl"/>
        </w:rPr>
      </w:pPr>
    </w:p>
    <w:p w:rsidR="00625312" w:rsidRPr="00AD3DE7" w:rsidRDefault="00625312">
      <w:pPr>
        <w:rPr>
          <w:lang w:val="es-ES_tradnl"/>
        </w:rPr>
      </w:pPr>
    </w:p>
    <w:sectPr w:rsidR="00625312" w:rsidRPr="00AD3DE7" w:rsidSect="001640B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E561D"/>
    <w:multiLevelType w:val="hybridMultilevel"/>
    <w:tmpl w:val="A9966F0C"/>
    <w:lvl w:ilvl="0" w:tplc="53BA65F0">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nsid w:val="0FE73D69"/>
    <w:multiLevelType w:val="hybridMultilevel"/>
    <w:tmpl w:val="DBEEEF72"/>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FFF58E0"/>
    <w:multiLevelType w:val="hybridMultilevel"/>
    <w:tmpl w:val="89AACBA4"/>
    <w:lvl w:ilvl="0" w:tplc="CE122922">
      <w:start w:val="1"/>
      <w:numFmt w:val="lowerLetter"/>
      <w:lvlText w:val="%1."/>
      <w:lvlJc w:val="left"/>
      <w:pPr>
        <w:ind w:left="720" w:hanging="360"/>
      </w:pPr>
      <w:rPr>
        <w:rFonts w:hint="default"/>
        <w:b w:val="0"/>
        <w:bCs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7732B1E"/>
    <w:multiLevelType w:val="multilevel"/>
    <w:tmpl w:val="CEF424CE"/>
    <w:lvl w:ilvl="0">
      <w:start w:val="5"/>
      <w:numFmt w:val="upperRoman"/>
      <w:lvlText w:val="%1."/>
      <w:lvlJc w:val="left"/>
      <w:pPr>
        <w:tabs>
          <w:tab w:val="num" w:pos="1440"/>
        </w:tabs>
        <w:ind w:left="144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289750FA"/>
    <w:multiLevelType w:val="hybridMultilevel"/>
    <w:tmpl w:val="8F22811C"/>
    <w:lvl w:ilvl="0" w:tplc="A7F4BB5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4826A0F"/>
    <w:multiLevelType w:val="hybridMultilevel"/>
    <w:tmpl w:val="4164E7D2"/>
    <w:lvl w:ilvl="0" w:tplc="53BA65F0">
      <w:start w:val="1"/>
      <w:numFmt w:val="lowerLetter"/>
      <w:lvlText w:val="%1)"/>
      <w:lvlJc w:val="left"/>
      <w:pPr>
        <w:tabs>
          <w:tab w:val="num" w:pos="720"/>
        </w:tabs>
        <w:ind w:left="720" w:hanging="360"/>
      </w:pPr>
      <w:rPr>
        <w:rFonts w:hint="default"/>
      </w:rPr>
    </w:lvl>
    <w:lvl w:ilvl="1" w:tplc="038C84C0">
      <w:start w:val="1"/>
      <w:numFmt w:val="upperRoman"/>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8F04441"/>
    <w:multiLevelType w:val="hybridMultilevel"/>
    <w:tmpl w:val="D410186A"/>
    <w:lvl w:ilvl="0" w:tplc="593CC0A8">
      <w:start w:val="5"/>
      <w:numFmt w:val="upperRoman"/>
      <w:lvlText w:val="%1."/>
      <w:lvlJc w:val="left"/>
      <w:pPr>
        <w:tabs>
          <w:tab w:val="num" w:pos="1800"/>
        </w:tabs>
        <w:ind w:left="1800" w:hanging="72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598B6E0B"/>
    <w:multiLevelType w:val="multilevel"/>
    <w:tmpl w:val="6284D9F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5C57D9C"/>
    <w:multiLevelType w:val="hybridMultilevel"/>
    <w:tmpl w:val="2826873E"/>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nsid w:val="753957D9"/>
    <w:multiLevelType w:val="hybridMultilevel"/>
    <w:tmpl w:val="C33A28A2"/>
    <w:lvl w:ilvl="0" w:tplc="D1483A76">
      <w:start w:val="1"/>
      <w:numFmt w:val="decimal"/>
      <w:lvlText w:val="%1."/>
      <w:lvlJc w:val="left"/>
      <w:pPr>
        <w:tabs>
          <w:tab w:val="num" w:pos="1080"/>
        </w:tabs>
        <w:ind w:left="1080" w:hanging="360"/>
      </w:pPr>
      <w:rPr>
        <w:rFonts w:hint="default"/>
        <w:sz w:val="28"/>
        <w:szCs w:val="28"/>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8"/>
  </w:num>
  <w:num w:numId="2">
    <w:abstractNumId w:val="1"/>
  </w:num>
  <w:num w:numId="3">
    <w:abstractNumId w:val="2"/>
  </w:num>
  <w:num w:numId="4">
    <w:abstractNumId w:val="4"/>
  </w:num>
  <w:num w:numId="5">
    <w:abstractNumId w:val="5"/>
  </w:num>
  <w:num w:numId="6">
    <w:abstractNumId w:val="0"/>
  </w:num>
  <w:num w:numId="7">
    <w:abstractNumId w:val="6"/>
  </w:num>
  <w:num w:numId="8">
    <w:abstractNumId w:val="7"/>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6DD9"/>
    <w:rsid w:val="0015782C"/>
    <w:rsid w:val="00161AAE"/>
    <w:rsid w:val="001640B8"/>
    <w:rsid w:val="00194BA2"/>
    <w:rsid w:val="001F299E"/>
    <w:rsid w:val="00223115"/>
    <w:rsid w:val="002C6EF6"/>
    <w:rsid w:val="00321D0B"/>
    <w:rsid w:val="00361E3F"/>
    <w:rsid w:val="004A0096"/>
    <w:rsid w:val="004A27A6"/>
    <w:rsid w:val="004C7061"/>
    <w:rsid w:val="004D30CA"/>
    <w:rsid w:val="004E6DD9"/>
    <w:rsid w:val="004E7E03"/>
    <w:rsid w:val="005A1A6F"/>
    <w:rsid w:val="00600095"/>
    <w:rsid w:val="00625312"/>
    <w:rsid w:val="006D742F"/>
    <w:rsid w:val="007B3261"/>
    <w:rsid w:val="008008AD"/>
    <w:rsid w:val="008903C8"/>
    <w:rsid w:val="008A7835"/>
    <w:rsid w:val="008F4A68"/>
    <w:rsid w:val="009161E9"/>
    <w:rsid w:val="009342F5"/>
    <w:rsid w:val="009D349C"/>
    <w:rsid w:val="00A25856"/>
    <w:rsid w:val="00AD3DE7"/>
    <w:rsid w:val="00BC7BD5"/>
    <w:rsid w:val="00BF2507"/>
    <w:rsid w:val="00C258DE"/>
    <w:rsid w:val="00CC6C6D"/>
    <w:rsid w:val="00CE10A6"/>
    <w:rsid w:val="00D059DC"/>
    <w:rsid w:val="00D72275"/>
    <w:rsid w:val="00DA7149"/>
    <w:rsid w:val="00F70E96"/>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D9"/>
    <w:pPr>
      <w:spacing w:after="200" w:line="276" w:lineRule="auto"/>
    </w:pPr>
    <w:rPr>
      <w:rFonts w:cs="Calibri"/>
      <w:sz w:val="22"/>
      <w:szCs w:val="22"/>
      <w:lang w:val="en-US" w:eastAsia="en-US"/>
    </w:rPr>
  </w:style>
  <w:style w:type="paragraph" w:styleId="Ttulo2">
    <w:name w:val="heading 2"/>
    <w:basedOn w:val="Normal"/>
    <w:next w:val="Normal"/>
    <w:link w:val="Ttulo2Car"/>
    <w:uiPriority w:val="99"/>
    <w:qFormat/>
    <w:rsid w:val="004A0096"/>
    <w:pPr>
      <w:keepNext/>
      <w:keepLines/>
      <w:spacing w:before="200" w:after="0"/>
      <w:outlineLvl w:val="1"/>
    </w:pPr>
    <w:rPr>
      <w:rFonts w:ascii="Cambria" w:eastAsia="Times New Roman" w:hAnsi="Cambria" w:cs="Cambria"/>
      <w:b/>
      <w:bCs/>
      <w:color w:val="4F81BD"/>
      <w:sz w:val="26"/>
      <w:szCs w:val="26"/>
    </w:rPr>
  </w:style>
  <w:style w:type="paragraph" w:styleId="Ttulo3">
    <w:name w:val="heading 3"/>
    <w:basedOn w:val="Normal"/>
    <w:next w:val="Normal"/>
    <w:link w:val="Ttulo3Car"/>
    <w:uiPriority w:val="99"/>
    <w:qFormat/>
    <w:rsid w:val="004A0096"/>
    <w:pPr>
      <w:keepNext/>
      <w:keepLines/>
      <w:spacing w:before="200" w:after="0"/>
      <w:outlineLvl w:val="2"/>
    </w:pPr>
    <w:rPr>
      <w:rFonts w:ascii="Cambria" w:eastAsia="Times New Roman" w:hAnsi="Cambria" w:cs="Cambria"/>
      <w:b/>
      <w:bCs/>
      <w:color w:val="DDDDD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4A0096"/>
    <w:rPr>
      <w:rFonts w:ascii="Cambria" w:hAnsi="Cambria" w:cs="Cambria"/>
      <w:b/>
      <w:bCs/>
      <w:color w:val="4F81BD"/>
      <w:sz w:val="26"/>
      <w:szCs w:val="26"/>
      <w:lang w:val="en-US"/>
    </w:rPr>
  </w:style>
  <w:style w:type="character" w:customStyle="1" w:styleId="Ttulo3Car">
    <w:name w:val="Título 3 Car"/>
    <w:basedOn w:val="Fuentedeprrafopredeter"/>
    <w:link w:val="Ttulo3"/>
    <w:uiPriority w:val="99"/>
    <w:rsid w:val="004A0096"/>
    <w:rPr>
      <w:rFonts w:ascii="Cambria" w:hAnsi="Cambria" w:cs="Cambria"/>
      <w:b/>
      <w:bCs/>
      <w:color w:val="DDDDDD"/>
      <w:lang w:val="en-US"/>
    </w:rPr>
  </w:style>
  <w:style w:type="paragraph" w:styleId="Prrafodelista">
    <w:name w:val="List Paragraph"/>
    <w:basedOn w:val="Normal"/>
    <w:uiPriority w:val="99"/>
    <w:qFormat/>
    <w:rsid w:val="004A0096"/>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divs>
    <w:div w:id="735670797">
      <w:marLeft w:val="0"/>
      <w:marRight w:val="0"/>
      <w:marTop w:val="0"/>
      <w:marBottom w:val="0"/>
      <w:divBdr>
        <w:top w:val="none" w:sz="0" w:space="0" w:color="auto"/>
        <w:left w:val="none" w:sz="0" w:space="0" w:color="auto"/>
        <w:bottom w:val="none" w:sz="0" w:space="0" w:color="auto"/>
        <w:right w:val="none" w:sz="0" w:space="0" w:color="auto"/>
      </w:divBdr>
    </w:div>
    <w:div w:id="735670798">
      <w:marLeft w:val="0"/>
      <w:marRight w:val="0"/>
      <w:marTop w:val="0"/>
      <w:marBottom w:val="0"/>
      <w:divBdr>
        <w:top w:val="none" w:sz="0" w:space="0" w:color="auto"/>
        <w:left w:val="none" w:sz="0" w:space="0" w:color="auto"/>
        <w:bottom w:val="none" w:sz="0" w:space="0" w:color="auto"/>
        <w:right w:val="none" w:sz="0" w:space="0" w:color="auto"/>
      </w:divBdr>
    </w:div>
    <w:div w:id="735670799">
      <w:marLeft w:val="0"/>
      <w:marRight w:val="0"/>
      <w:marTop w:val="0"/>
      <w:marBottom w:val="0"/>
      <w:divBdr>
        <w:top w:val="none" w:sz="0" w:space="0" w:color="auto"/>
        <w:left w:val="none" w:sz="0" w:space="0" w:color="auto"/>
        <w:bottom w:val="none" w:sz="0" w:space="0" w:color="auto"/>
        <w:right w:val="none" w:sz="0" w:space="0" w:color="auto"/>
      </w:divBdr>
    </w:div>
    <w:div w:id="735670800">
      <w:marLeft w:val="0"/>
      <w:marRight w:val="0"/>
      <w:marTop w:val="0"/>
      <w:marBottom w:val="0"/>
      <w:divBdr>
        <w:top w:val="none" w:sz="0" w:space="0" w:color="auto"/>
        <w:left w:val="none" w:sz="0" w:space="0" w:color="auto"/>
        <w:bottom w:val="none" w:sz="0" w:space="0" w:color="auto"/>
        <w:right w:val="none" w:sz="0" w:space="0" w:color="auto"/>
      </w:divBdr>
    </w:div>
    <w:div w:id="7356708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1.wmf"/><Relationship Id="rId50" Type="http://schemas.openxmlformats.org/officeDocument/2006/relationships/oleObject" Target="embeddings/oleObject24.bin"/><Relationship Id="rId55" Type="http://schemas.openxmlformats.org/officeDocument/2006/relationships/oleObject" Target="embeddings/oleObject28.bin"/><Relationship Id="rId63" Type="http://schemas.openxmlformats.org/officeDocument/2006/relationships/image" Target="media/image27.wmf"/><Relationship Id="rId68" Type="http://schemas.openxmlformats.org/officeDocument/2006/relationships/oleObject" Target="embeddings/oleObject35.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6.wmf"/><Relationship Id="rId40" Type="http://schemas.openxmlformats.org/officeDocument/2006/relationships/oleObject" Target="embeddings/oleObject19.bin"/><Relationship Id="rId45" Type="http://schemas.openxmlformats.org/officeDocument/2006/relationships/image" Target="media/image20.wmf"/><Relationship Id="rId53" Type="http://schemas.openxmlformats.org/officeDocument/2006/relationships/oleObject" Target="embeddings/oleObject27.bin"/><Relationship Id="rId58" Type="http://schemas.openxmlformats.org/officeDocument/2006/relationships/oleObject" Target="embeddings/oleObject30.bin"/><Relationship Id="rId66" Type="http://schemas.openxmlformats.org/officeDocument/2006/relationships/oleObject" Target="embeddings/oleObject34.bin"/><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image" Target="media/image9.wmf"/><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2.wmf"/><Relationship Id="rId57" Type="http://schemas.openxmlformats.org/officeDocument/2006/relationships/image" Target="media/image24.wmf"/><Relationship Id="rId61" Type="http://schemas.openxmlformats.org/officeDocument/2006/relationships/image" Target="media/image26.wmf"/><Relationship Id="rId10" Type="http://schemas.openxmlformats.org/officeDocument/2006/relationships/oleObject" Target="embeddings/oleObject3.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21.bin"/><Relationship Id="rId52" Type="http://schemas.openxmlformats.org/officeDocument/2006/relationships/oleObject" Target="embeddings/oleObject26.bin"/><Relationship Id="rId60" Type="http://schemas.openxmlformats.org/officeDocument/2006/relationships/oleObject" Target="embeddings/oleObject31.bin"/><Relationship Id="rId65" Type="http://schemas.openxmlformats.org/officeDocument/2006/relationships/image" Target="media/image2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oleObject" Target="embeddings/oleObject10.bin"/><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3.bin"/><Relationship Id="rId56" Type="http://schemas.openxmlformats.org/officeDocument/2006/relationships/oleObject" Target="embeddings/oleObject29.bin"/><Relationship Id="rId64" Type="http://schemas.openxmlformats.org/officeDocument/2006/relationships/oleObject" Target="embeddings/oleObject33.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oleObject" Target="embeddings/oleObject9.bin"/><Relationship Id="rId41" Type="http://schemas.openxmlformats.org/officeDocument/2006/relationships/image" Target="media/image18.wmf"/><Relationship Id="rId54" Type="http://schemas.openxmlformats.org/officeDocument/2006/relationships/image" Target="media/image23.wmf"/><Relationship Id="rId62" Type="http://schemas.openxmlformats.org/officeDocument/2006/relationships/oleObject" Target="embeddings/oleObject32.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1505</Words>
  <Characters>8278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Ercos Valdivieso C</dc:creator>
  <cp:keywords/>
  <dc:description/>
  <cp:lastModifiedBy>Ercos Valdivieso C</cp:lastModifiedBy>
  <cp:revision>3</cp:revision>
  <dcterms:created xsi:type="dcterms:W3CDTF">2010-07-12T23:33:00Z</dcterms:created>
  <dcterms:modified xsi:type="dcterms:W3CDTF">2010-07-12T23:33:00Z</dcterms:modified>
</cp:coreProperties>
</file>