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CB" w:rsidRPr="005949E7" w:rsidRDefault="003A01CB" w:rsidP="00913D2F">
      <w:pPr>
        <w:pStyle w:val="Title"/>
        <w:ind w:firstLine="0"/>
        <w:rPr>
          <w:b/>
        </w:rPr>
      </w:pPr>
      <w:r w:rsidRPr="005949E7">
        <w:t xml:space="preserve">Experiencia </w:t>
      </w:r>
      <w:r>
        <w:t>5:</w:t>
      </w:r>
      <w:r w:rsidRPr="005949E7">
        <w:rPr>
          <w:b/>
        </w:rPr>
        <w:t xml:space="preserve"> </w:t>
      </w:r>
      <w:r w:rsidRPr="005949E7">
        <w:t>Central Micro-Hidráulica</w:t>
      </w:r>
    </w:p>
    <w:p w:rsidR="003A01CB" w:rsidRPr="005949E7" w:rsidRDefault="003A01CB" w:rsidP="00913D2F">
      <w:pPr>
        <w:pStyle w:val="Title"/>
        <w:ind w:firstLine="0"/>
      </w:pPr>
      <w:r w:rsidRPr="005949E7">
        <w:t>Generado</w:t>
      </w:r>
      <w:r>
        <w:t>r Sincrónico Aislado de la Red</w:t>
      </w:r>
    </w:p>
    <w:p w:rsidR="003A01CB" w:rsidRPr="00FF6887" w:rsidRDefault="003A01CB" w:rsidP="007879F0">
      <w:pPr>
        <w:pStyle w:val="Heading1"/>
        <w:rPr>
          <w:rFonts w:ascii="Cambria" w:hAnsi="Cambria" w:cs="Arial"/>
          <w:b/>
          <w:color w:val="auto"/>
        </w:rPr>
      </w:pPr>
      <w:r w:rsidRPr="00FF6887">
        <w:rPr>
          <w:rFonts w:ascii="Cambria" w:hAnsi="Cambria" w:cs="Arial"/>
          <w:b/>
          <w:color w:val="auto"/>
        </w:rPr>
        <w:t>Introducción</w:t>
      </w:r>
    </w:p>
    <w:p w:rsidR="003A01CB" w:rsidRPr="00FF6887" w:rsidRDefault="003A01CB" w:rsidP="00FF6887">
      <w:pPr>
        <w:spacing w:line="360" w:lineRule="auto"/>
      </w:pPr>
    </w:p>
    <w:p w:rsidR="003A01CB" w:rsidRDefault="003A01CB" w:rsidP="008850FE">
      <w:pPr>
        <w:spacing w:line="360" w:lineRule="auto"/>
        <w:ind w:firstLine="397"/>
      </w:pPr>
      <w:r w:rsidRPr="00FF6887">
        <w:t>Las máquinas sincrónicas son utilizadas ampliamente en centrales generadoras en los sistemas de potencia actuales. Pueden encontrarse conectadas a la red</w:t>
      </w:r>
      <w:r>
        <w:t xml:space="preserve"> (a un gran sistema interconectado)</w:t>
      </w:r>
      <w:r w:rsidRPr="00FF6887">
        <w:t xml:space="preserve"> o </w:t>
      </w:r>
      <w:r>
        <w:t xml:space="preserve">bien </w:t>
      </w:r>
      <w:r w:rsidRPr="00FF6887">
        <w:t>aisladas, exhibiendo comportamientos diferentes según sea el caso.</w:t>
      </w:r>
    </w:p>
    <w:p w:rsidR="003A01CB" w:rsidRPr="00FF6887" w:rsidRDefault="003A01CB" w:rsidP="008850FE">
      <w:pPr>
        <w:spacing w:line="360" w:lineRule="auto"/>
        <w:ind w:firstLine="708"/>
      </w:pPr>
      <w:r w:rsidRPr="00FF6887">
        <w:t>En el caso aislado es posible alterar tanto frecuencia como amplitud de tensión en bornes de la máquina</w:t>
      </w:r>
      <w:r>
        <w:t>,</w:t>
      </w:r>
      <w:r w:rsidRPr="00FF6887">
        <w:t xml:space="preserve"> dependiendo del torque mecánico aplicado sobre el eje y </w:t>
      </w:r>
      <w:r>
        <w:t>de la corriente por el enrollado del campo en el rotor</w:t>
      </w:r>
      <w:r w:rsidRPr="00FF6887">
        <w:t>. Sin embargo</w:t>
      </w:r>
      <w:r>
        <w:t>,</w:t>
      </w:r>
      <w:r w:rsidRPr="00FF6887">
        <w:t xml:space="preserve"> </w:t>
      </w:r>
      <w:r>
        <w:t xml:space="preserve">cuando las máquinas sincrónicas se </w:t>
      </w:r>
      <w:r w:rsidRPr="00FF6887">
        <w:t>conecta</w:t>
      </w:r>
      <w:r>
        <w:t>n</w:t>
      </w:r>
      <w:r w:rsidRPr="00FF6887">
        <w:t xml:space="preserve"> a </w:t>
      </w:r>
      <w:r>
        <w:t>una red de gran tamaño,</w:t>
      </w:r>
      <w:r w:rsidRPr="00FF6887">
        <w:t xml:space="preserve"> la velocidad d</w:t>
      </w:r>
      <w:r>
        <w:t xml:space="preserve">e giro y amplitud de voltaje tienden a ser </w:t>
      </w:r>
      <w:r w:rsidRPr="00FF6887">
        <w:t xml:space="preserve"> fijas: hay cambios en el flujo de potencia activa y reactiva hacia o desde la red.</w:t>
      </w:r>
    </w:p>
    <w:p w:rsidR="003A01CB" w:rsidRPr="00FF6887" w:rsidRDefault="003A01CB" w:rsidP="008850FE">
      <w:pPr>
        <w:spacing w:line="360" w:lineRule="auto"/>
        <w:ind w:firstLine="708"/>
      </w:pPr>
      <w:r w:rsidRPr="00FF6887">
        <w:t>El presente laboratorio detalla la operación aislada de la máquina. Se pretende estudiar las características constructivas, el model</w:t>
      </w:r>
      <w:r>
        <w:t>o del generador sincrónico</w:t>
      </w:r>
      <w:r w:rsidRPr="00FF6887">
        <w:t xml:space="preserve"> (rotor polos salientes) y el control de la excitación entre otros aspectos. Para tales efectos se cuenta con una Central Micro – Hidráulica, CMH, que utiliza una turbina hidráulica como máquina motriz.                                                 </w:t>
      </w:r>
    </w:p>
    <w:p w:rsidR="003A01CB" w:rsidRPr="00FF6887" w:rsidRDefault="003A01CB" w:rsidP="00FF6887">
      <w:pPr>
        <w:spacing w:line="360" w:lineRule="auto"/>
      </w:pPr>
      <w:r>
        <w:rPr>
          <w:noProof/>
          <w:lang w:val="en-US"/>
        </w:rPr>
        <w:pict>
          <v:rect id="_x0000_s1027" style="position:absolute;left:0;text-align:left;margin-left:127.8pt;margin-top:267.1pt;width:153.15pt;height:39pt;z-index:251660288" stroked="f">
            <v:textbox style="mso-next-textbox:#_x0000_s1027">
              <w:txbxContent>
                <w:p w:rsidR="003A01CB" w:rsidRPr="00DE2767" w:rsidRDefault="003A01CB" w:rsidP="00DE2767">
                  <w:pPr>
                    <w:ind w:firstLine="0"/>
                    <w:jc w:val="center"/>
                    <w:rPr>
                      <w:b/>
                      <w:sz w:val="20"/>
                    </w:rPr>
                  </w:pPr>
                  <w:r w:rsidRPr="00DE2767">
                    <w:rPr>
                      <w:b/>
                      <w:sz w:val="20"/>
                    </w:rPr>
                    <w:t xml:space="preserve">Figura </w:t>
                  </w:r>
                  <w:r w:rsidRPr="00DE2767">
                    <w:rPr>
                      <w:b/>
                      <w:sz w:val="20"/>
                    </w:rPr>
                    <w:fldChar w:fldCharType="begin"/>
                  </w:r>
                  <w:r w:rsidRPr="00DE2767">
                    <w:rPr>
                      <w:b/>
                      <w:sz w:val="20"/>
                    </w:rPr>
                    <w:instrText xml:space="preserve"> STYLEREF 1 \s </w:instrText>
                  </w:r>
                  <w:r w:rsidRPr="00DE2767">
                    <w:rPr>
                      <w:b/>
                      <w:sz w:val="20"/>
                    </w:rPr>
                    <w:fldChar w:fldCharType="separate"/>
                  </w:r>
                  <w:r>
                    <w:rPr>
                      <w:b/>
                      <w:noProof/>
                      <w:sz w:val="20"/>
                    </w:rPr>
                    <w:t>A</w:t>
                  </w:r>
                  <w:r w:rsidRPr="00DE2767">
                    <w:rPr>
                      <w:b/>
                      <w:sz w:val="20"/>
                    </w:rPr>
                    <w:fldChar w:fldCharType="end"/>
                  </w:r>
                  <w:r w:rsidRPr="00DE2767">
                    <w:rPr>
                      <w:b/>
                      <w:sz w:val="20"/>
                    </w:rPr>
                    <w:noBreakHyphen/>
                  </w:r>
                  <w:r w:rsidRPr="00DE2767">
                    <w:rPr>
                      <w:b/>
                      <w:sz w:val="20"/>
                    </w:rPr>
                    <w:fldChar w:fldCharType="begin"/>
                  </w:r>
                  <w:r w:rsidRPr="00DE2767">
                    <w:rPr>
                      <w:b/>
                      <w:sz w:val="20"/>
                    </w:rPr>
                    <w:instrText xml:space="preserve"> SEQ Figura \* ARABIC \s 1 </w:instrText>
                  </w:r>
                  <w:r w:rsidRPr="00DE2767">
                    <w:rPr>
                      <w:b/>
                      <w:sz w:val="20"/>
                    </w:rPr>
                    <w:fldChar w:fldCharType="separate"/>
                  </w:r>
                  <w:r>
                    <w:rPr>
                      <w:b/>
                      <w:noProof/>
                      <w:sz w:val="20"/>
                    </w:rPr>
                    <w:t>1</w:t>
                  </w:r>
                  <w:r w:rsidRPr="00DE2767">
                    <w:rPr>
                      <w:b/>
                      <w:sz w:val="20"/>
                    </w:rPr>
                    <w:fldChar w:fldCharType="end"/>
                  </w:r>
                  <w:r w:rsidRPr="00DE2767">
                    <w:rPr>
                      <w:b/>
                      <w:sz w:val="20"/>
                    </w:rPr>
                    <w:t>. Prototipo CMH</w:t>
                  </w:r>
                </w:p>
                <w:p w:rsidR="003A01CB" w:rsidRPr="00DE2767" w:rsidRDefault="003A01CB" w:rsidP="00DE2767"/>
              </w:txbxContent>
            </v:textbox>
          </v:rect>
        </w:pict>
      </w: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1" o:spid="_x0000_s1028" type="#_x0000_t75" style="position:absolute;left:0;text-align:left;margin-left:44.7pt;margin-top:33.8pt;width:313.65pt;height:224.25pt;z-index:251656192;visibility:visible">
            <v:imagedata r:id="rId7" o:title=""/>
            <w10:wrap type="topAndBottom"/>
          </v:shape>
        </w:pict>
      </w:r>
      <w:r w:rsidRPr="00FF6887">
        <w:t xml:space="preserve"> La disposición física de sus componentes se esquematiza en la siguiente figura:</w:t>
      </w:r>
    </w:p>
    <w:p w:rsidR="003A01CB" w:rsidRDefault="003A01CB" w:rsidP="00FF6887">
      <w:pPr>
        <w:spacing w:line="360" w:lineRule="auto"/>
      </w:pPr>
    </w:p>
    <w:p w:rsidR="003A01CB" w:rsidRPr="00FF6887" w:rsidRDefault="003A01CB" w:rsidP="00FF6887">
      <w:pPr>
        <w:spacing w:line="360" w:lineRule="auto"/>
      </w:pPr>
      <w:r>
        <w:rPr>
          <w:noProof/>
          <w:lang w:val="en-US"/>
        </w:rPr>
        <w:pict>
          <v:shape id="Bild 2" o:spid="_x0000_s1029" type="#_x0000_t75" style="position:absolute;left:0;text-align:left;margin-left:277.2pt;margin-top:3.2pt;width:167.25pt;height:211.25pt;z-index:-251661312;visibility:visible">
            <v:imagedata r:id="rId8" o:title=""/>
            <w10:wrap type="square"/>
          </v:shape>
        </w:pict>
      </w:r>
      <w:r w:rsidRPr="00FF6887">
        <w:t xml:space="preserve">En la figura anterior se verifica la existencia de un panel con indicadores análogos para los valores de tensión entre fases y corriente de línea, además de la frecuencia correspondiente. La energía eléctrica generada por la central se puede extraer utilizando 2 conexiones. La primera corresponde a conectores de tipo “banana” ubicados a la izquierda del panel. La segunda es una toma hembra trifásica. </w:t>
      </w:r>
    </w:p>
    <w:p w:rsidR="003A01CB" w:rsidRPr="00FF6887" w:rsidRDefault="003A01CB" w:rsidP="00FF6887">
      <w:pPr>
        <w:spacing w:line="360" w:lineRule="auto"/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77.2pt;margin-top:64.45pt;width:175.15pt;height:27.75pt;z-index:251657216" stroked="f">
            <v:textbox inset="0,0,0,0">
              <w:txbxContent>
                <w:p w:rsidR="003A01CB" w:rsidRPr="00DE2767" w:rsidRDefault="003A01CB" w:rsidP="00DE2767">
                  <w:pPr>
                    <w:ind w:firstLine="0"/>
                    <w:jc w:val="center"/>
                    <w:rPr>
                      <w:b/>
                      <w:noProof/>
                      <w:sz w:val="16"/>
                    </w:rPr>
                  </w:pPr>
                  <w:r w:rsidRPr="00DE2767">
                    <w:rPr>
                      <w:b/>
                      <w:sz w:val="20"/>
                    </w:rPr>
                    <w:t xml:space="preserve">Figura </w:t>
                  </w:r>
                  <w:r w:rsidRPr="00DE2767">
                    <w:rPr>
                      <w:b/>
                      <w:sz w:val="20"/>
                    </w:rPr>
                    <w:fldChar w:fldCharType="begin"/>
                  </w:r>
                  <w:r w:rsidRPr="00DE2767">
                    <w:rPr>
                      <w:b/>
                      <w:sz w:val="20"/>
                    </w:rPr>
                    <w:instrText xml:space="preserve"> STYLEREF 1 \s </w:instrText>
                  </w:r>
                  <w:r w:rsidRPr="00DE2767">
                    <w:rPr>
                      <w:b/>
                      <w:sz w:val="20"/>
                    </w:rPr>
                    <w:fldChar w:fldCharType="separate"/>
                  </w:r>
                  <w:r>
                    <w:rPr>
                      <w:b/>
                      <w:noProof/>
                      <w:sz w:val="20"/>
                    </w:rPr>
                    <w:t>A</w:t>
                  </w:r>
                  <w:r w:rsidRPr="00DE2767">
                    <w:rPr>
                      <w:b/>
                      <w:sz w:val="20"/>
                    </w:rPr>
                    <w:fldChar w:fldCharType="end"/>
                  </w:r>
                  <w:r w:rsidRPr="00DE2767">
                    <w:rPr>
                      <w:b/>
                      <w:sz w:val="20"/>
                    </w:rPr>
                    <w:noBreakHyphen/>
                  </w:r>
                  <w:r w:rsidRPr="00DE2767">
                    <w:rPr>
                      <w:b/>
                      <w:sz w:val="20"/>
                    </w:rPr>
                    <w:fldChar w:fldCharType="begin"/>
                  </w:r>
                  <w:r w:rsidRPr="00DE2767">
                    <w:rPr>
                      <w:b/>
                      <w:sz w:val="20"/>
                    </w:rPr>
                    <w:instrText xml:space="preserve"> SEQ Figura \* ARABIC \s 1 </w:instrText>
                  </w:r>
                  <w:r w:rsidRPr="00DE2767">
                    <w:rPr>
                      <w:b/>
                      <w:sz w:val="20"/>
                    </w:rPr>
                    <w:fldChar w:fldCharType="separate"/>
                  </w:r>
                  <w:r>
                    <w:rPr>
                      <w:b/>
                      <w:noProof/>
                      <w:sz w:val="20"/>
                    </w:rPr>
                    <w:t>2</w:t>
                  </w:r>
                  <w:r w:rsidRPr="00DE2767">
                    <w:rPr>
                      <w:b/>
                      <w:sz w:val="20"/>
                    </w:rPr>
                    <w:fldChar w:fldCharType="end"/>
                  </w:r>
                  <w:r w:rsidRPr="00DE2767">
                    <w:rPr>
                      <w:b/>
                      <w:sz w:val="20"/>
                    </w:rPr>
                    <w:t>. Esquema de operación de la unidad.</w:t>
                  </w:r>
                </w:p>
              </w:txbxContent>
            </v:textbox>
            <w10:wrap type="square"/>
          </v:shape>
        </w:pict>
      </w:r>
      <w:r w:rsidRPr="00FF6887">
        <w:t xml:space="preserve">Al costado se incluye el diagrama del panel utilizado en el prototipo y las mediciones mostradas en el acrílico de la central, correspondientes a medidores análogos señalados por cuadrados negros en el diagrama. </w:t>
      </w:r>
    </w:p>
    <w:p w:rsidR="003A01CB" w:rsidRPr="00FF6887" w:rsidRDefault="003A01CB" w:rsidP="00FF6887">
      <w:pPr>
        <w:spacing w:line="360" w:lineRule="auto"/>
      </w:pPr>
      <w:r>
        <w:rPr>
          <w:noProof/>
          <w:lang w:val="en-US"/>
        </w:rPr>
        <w:pict>
          <v:shape id="Bild 6" o:spid="_x0000_s1031" type="#_x0000_t75" style="position:absolute;left:0;text-align:left;margin-left:3.45pt;margin-top:28.3pt;width:186.75pt;height:234.75pt;z-index:251659264;visibility:visible">
            <v:imagedata r:id="rId9" o:title=""/>
            <w10:wrap type="square"/>
          </v:shape>
        </w:pict>
      </w:r>
    </w:p>
    <w:p w:rsidR="003A01CB" w:rsidRPr="00FF6887" w:rsidRDefault="003A01CB" w:rsidP="00FF6887">
      <w:pPr>
        <w:spacing w:line="360" w:lineRule="auto"/>
      </w:pPr>
      <w:r w:rsidRPr="00FF6887">
        <w:t xml:space="preserve">La CMH reproduce el comportamiento de una central real ante distintas condiciones de operación usando un estanque de agua y una bomba centrífuga. Así, la caída natural simulada (altura del </w:t>
      </w:r>
      <w:r>
        <w:t>fluido de trabajo</w:t>
      </w:r>
      <w:r w:rsidRPr="00FF6887">
        <w:t xml:space="preserve"> y presión al interior de las tuberías),</w:t>
      </w:r>
      <w:r>
        <w:t xml:space="preserve"> es factible de ser emulada a través del control de </w:t>
      </w:r>
      <w:r w:rsidRPr="00FF6887">
        <w:t>velocidad de la bomba</w:t>
      </w:r>
      <w:r>
        <w:t xml:space="preserve"> centrífuga</w:t>
      </w:r>
      <w:r w:rsidRPr="00FF6887">
        <w:t xml:space="preserve">. Por esto, el accionamiento es a través de un variador de frecuencia. </w:t>
      </w:r>
    </w:p>
    <w:p w:rsidR="003A01CB" w:rsidRPr="00FF6887" w:rsidRDefault="003A01CB" w:rsidP="00FF6887">
      <w:pPr>
        <w:spacing w:line="360" w:lineRule="auto"/>
      </w:pPr>
    </w:p>
    <w:p w:rsidR="003A01CB" w:rsidRPr="00FF6887" w:rsidRDefault="003A01CB" w:rsidP="00FF6887">
      <w:pPr>
        <w:spacing w:line="360" w:lineRule="auto"/>
      </w:pPr>
    </w:p>
    <w:p w:rsidR="003A01CB" w:rsidRPr="00FF6887" w:rsidRDefault="003A01CB" w:rsidP="00FF6887">
      <w:pPr>
        <w:spacing w:line="360" w:lineRule="auto"/>
      </w:pPr>
      <w:r>
        <w:rPr>
          <w:noProof/>
          <w:lang w:val="en-US"/>
        </w:rPr>
        <w:pict>
          <v:shape id="_x0000_s1032" type="#_x0000_t202" style="position:absolute;left:0;text-align:left;margin-left:0;margin-top:4.25pt;width:189.3pt;height:22.2pt;z-index:251658240" stroked="f">
            <v:textbox style="mso-fit-shape-to-text:t" inset="0,0,0,0">
              <w:txbxContent>
                <w:p w:rsidR="003A01CB" w:rsidRPr="00DE2767" w:rsidRDefault="003A01CB" w:rsidP="00DE2767">
                  <w:pPr>
                    <w:pStyle w:val="Caption"/>
                    <w:ind w:firstLine="0"/>
                    <w:jc w:val="center"/>
                    <w:rPr>
                      <w:noProof/>
                      <w:color w:val="auto"/>
                      <w:sz w:val="20"/>
                    </w:rPr>
                  </w:pPr>
                  <w:r w:rsidRPr="00DE2767">
                    <w:rPr>
                      <w:color w:val="auto"/>
                      <w:sz w:val="20"/>
                    </w:rPr>
                    <w:t xml:space="preserve">Figura </w:t>
                  </w:r>
                  <w:r w:rsidRPr="00DE2767">
                    <w:rPr>
                      <w:color w:val="auto"/>
                      <w:sz w:val="20"/>
                    </w:rPr>
                    <w:fldChar w:fldCharType="begin"/>
                  </w:r>
                  <w:r w:rsidRPr="00DE2767">
                    <w:rPr>
                      <w:color w:val="auto"/>
                      <w:sz w:val="20"/>
                    </w:rPr>
                    <w:instrText xml:space="preserve"> STYLEREF 1 \s </w:instrText>
                  </w:r>
                  <w:r w:rsidRPr="00DE2767">
                    <w:rPr>
                      <w:color w:val="auto"/>
                      <w:sz w:val="20"/>
                    </w:rPr>
                    <w:fldChar w:fldCharType="separate"/>
                  </w:r>
                  <w:r>
                    <w:rPr>
                      <w:noProof/>
                      <w:color w:val="auto"/>
                      <w:sz w:val="20"/>
                    </w:rPr>
                    <w:t>A</w:t>
                  </w:r>
                  <w:r w:rsidRPr="00DE2767">
                    <w:rPr>
                      <w:color w:val="auto"/>
                      <w:sz w:val="20"/>
                    </w:rPr>
                    <w:fldChar w:fldCharType="end"/>
                  </w:r>
                  <w:r w:rsidRPr="00DE2767">
                    <w:rPr>
                      <w:color w:val="auto"/>
                      <w:sz w:val="20"/>
                    </w:rPr>
                    <w:noBreakHyphen/>
                  </w:r>
                  <w:r w:rsidRPr="00DE2767">
                    <w:rPr>
                      <w:color w:val="auto"/>
                      <w:sz w:val="20"/>
                    </w:rPr>
                    <w:fldChar w:fldCharType="begin"/>
                  </w:r>
                  <w:r w:rsidRPr="00DE2767">
                    <w:rPr>
                      <w:color w:val="auto"/>
                      <w:sz w:val="20"/>
                    </w:rPr>
                    <w:instrText xml:space="preserve"> SEQ Figura \* ARABIC \s 1 </w:instrText>
                  </w:r>
                  <w:r w:rsidRPr="00DE2767">
                    <w:rPr>
                      <w:color w:val="auto"/>
                      <w:sz w:val="20"/>
                    </w:rPr>
                    <w:fldChar w:fldCharType="separate"/>
                  </w:r>
                  <w:r>
                    <w:rPr>
                      <w:noProof/>
                      <w:color w:val="auto"/>
                      <w:sz w:val="20"/>
                    </w:rPr>
                    <w:t>3</w:t>
                  </w:r>
                  <w:r w:rsidRPr="00DE2767">
                    <w:rPr>
                      <w:color w:val="auto"/>
                      <w:sz w:val="20"/>
                    </w:rPr>
                    <w:fldChar w:fldCharType="end"/>
                  </w:r>
                  <w:r w:rsidRPr="00DE2767">
                    <w:rPr>
                      <w:color w:val="auto"/>
                      <w:sz w:val="20"/>
                    </w:rPr>
                    <w:t>. Variador de Frecuencia Altivar 71</w:t>
                  </w:r>
                </w:p>
              </w:txbxContent>
            </v:textbox>
            <w10:wrap type="topAndBottom"/>
          </v:shape>
        </w:pict>
      </w:r>
    </w:p>
    <w:p w:rsidR="003A01CB" w:rsidRPr="00FF6887" w:rsidRDefault="003A01CB" w:rsidP="008850FE">
      <w:pPr>
        <w:spacing w:line="360" w:lineRule="auto"/>
        <w:ind w:firstLine="0"/>
      </w:pPr>
    </w:p>
    <w:p w:rsidR="003A01CB" w:rsidRPr="007B03FB" w:rsidRDefault="003A01CB" w:rsidP="007879F0">
      <w:pPr>
        <w:pStyle w:val="Heading1"/>
        <w:rPr>
          <w:rFonts w:ascii="Cambria" w:hAnsi="Cambria"/>
          <w:b/>
          <w:color w:val="auto"/>
        </w:rPr>
      </w:pPr>
      <w:r w:rsidRPr="007B03FB">
        <w:rPr>
          <w:rFonts w:ascii="Cambria" w:hAnsi="Cambria"/>
          <w:b/>
          <w:color w:val="auto"/>
        </w:rPr>
        <w:t>Objetivos</w:t>
      </w:r>
    </w:p>
    <w:p w:rsidR="003A01CB" w:rsidRDefault="003A01CB" w:rsidP="00DB099D">
      <w:pPr>
        <w:pStyle w:val="NoSpacing"/>
        <w:spacing w:line="360" w:lineRule="auto"/>
        <w:jc w:val="both"/>
        <w:rPr>
          <w:rFonts w:cs="Arial"/>
          <w:szCs w:val="24"/>
        </w:rPr>
      </w:pPr>
    </w:p>
    <w:p w:rsidR="003A01CB" w:rsidRDefault="003A01CB" w:rsidP="00DB099D">
      <w:pPr>
        <w:pStyle w:val="NoSpacing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Los objetivos de la experiencia se detallan en los siguientes puntos:</w:t>
      </w:r>
    </w:p>
    <w:p w:rsidR="003A01CB" w:rsidRPr="007B03FB" w:rsidRDefault="003A01CB" w:rsidP="00DB099D">
      <w:pPr>
        <w:pStyle w:val="NoSpacing"/>
        <w:spacing w:line="360" w:lineRule="auto"/>
        <w:jc w:val="both"/>
        <w:rPr>
          <w:rFonts w:cs="Arial"/>
          <w:szCs w:val="24"/>
        </w:rPr>
      </w:pPr>
    </w:p>
    <w:p w:rsidR="003A01CB" w:rsidRPr="007B03FB" w:rsidRDefault="003A01CB" w:rsidP="008850FE">
      <w:pPr>
        <w:pStyle w:val="NoSpacing"/>
        <w:numPr>
          <w:ilvl w:val="0"/>
          <w:numId w:val="4"/>
        </w:numPr>
        <w:spacing w:line="360" w:lineRule="auto"/>
        <w:ind w:left="567" w:hanging="567"/>
        <w:jc w:val="both"/>
        <w:rPr>
          <w:rFonts w:cs="Arial"/>
          <w:szCs w:val="24"/>
        </w:rPr>
      </w:pPr>
      <w:r w:rsidRPr="007B03FB">
        <w:rPr>
          <w:rFonts w:cs="Arial"/>
          <w:szCs w:val="24"/>
        </w:rPr>
        <w:t>Estudiar el modelo de conversión de energía hidráulica a eléctrica</w:t>
      </w:r>
      <w:r>
        <w:rPr>
          <w:rFonts w:cs="Arial"/>
          <w:szCs w:val="24"/>
        </w:rPr>
        <w:t>,</w:t>
      </w:r>
      <w:r w:rsidRPr="007B03FB">
        <w:rPr>
          <w:rFonts w:cs="Arial"/>
          <w:szCs w:val="24"/>
        </w:rPr>
        <w:t xml:space="preserve"> identificando los elementos principales y su disposición en este tipo de centrales.</w:t>
      </w:r>
    </w:p>
    <w:p w:rsidR="003A01CB" w:rsidRPr="007B03FB" w:rsidRDefault="003A01CB" w:rsidP="008850FE">
      <w:pPr>
        <w:pStyle w:val="Default"/>
        <w:widowControl/>
        <w:numPr>
          <w:ilvl w:val="0"/>
          <w:numId w:val="4"/>
        </w:numPr>
        <w:spacing w:line="360" w:lineRule="auto"/>
        <w:ind w:left="567" w:hanging="567"/>
        <w:jc w:val="both"/>
        <w:rPr>
          <w:rFonts w:ascii="Calibri" w:hAnsi="Calibri"/>
          <w:sz w:val="22"/>
          <w:lang w:val="es-CL"/>
        </w:rPr>
      </w:pPr>
      <w:r w:rsidRPr="007B03FB">
        <w:rPr>
          <w:rFonts w:ascii="Calibri" w:hAnsi="Calibri"/>
          <w:sz w:val="22"/>
          <w:lang w:val="es-CL"/>
        </w:rPr>
        <w:t>Estudiar el modelo del generador sincrónico de polos salientes</w:t>
      </w:r>
      <w:r>
        <w:rPr>
          <w:rFonts w:ascii="Calibri" w:hAnsi="Calibri"/>
          <w:sz w:val="22"/>
          <w:lang w:val="es-CL"/>
        </w:rPr>
        <w:t>,</w:t>
      </w:r>
      <w:r w:rsidRPr="007B03FB">
        <w:rPr>
          <w:rFonts w:ascii="Calibri" w:hAnsi="Calibri"/>
          <w:sz w:val="22"/>
          <w:lang w:val="es-CL"/>
        </w:rPr>
        <w:t xml:space="preserve"> considerando la determinación de parámetros a partir de pruebas de laboratorio.</w:t>
      </w:r>
    </w:p>
    <w:p w:rsidR="003A01CB" w:rsidRDefault="003A01CB" w:rsidP="008850FE">
      <w:pPr>
        <w:pStyle w:val="Default"/>
        <w:widowControl/>
        <w:numPr>
          <w:ilvl w:val="0"/>
          <w:numId w:val="4"/>
        </w:numPr>
        <w:spacing w:line="360" w:lineRule="auto"/>
        <w:ind w:left="567" w:hanging="567"/>
        <w:jc w:val="both"/>
        <w:rPr>
          <w:rFonts w:ascii="Calibri" w:hAnsi="Calibri"/>
          <w:sz w:val="22"/>
          <w:lang w:val="es-CL"/>
        </w:rPr>
      </w:pPr>
      <w:r w:rsidRPr="007B03FB">
        <w:rPr>
          <w:rFonts w:ascii="Calibri" w:hAnsi="Calibri"/>
          <w:sz w:val="22"/>
          <w:lang w:val="es-CL"/>
        </w:rPr>
        <w:t>Reconocer y analizar la influencia de ciertas variables de interés en el desempeño de la unidad y calidad del suministro. Se consideran (al menos): torque aplicado al eje, excitación del generador y magnitud y variaciones de potencia consumida (rechazo de carga).</w:t>
      </w:r>
    </w:p>
    <w:p w:rsidR="003A01CB" w:rsidRDefault="003A01CB">
      <w:pPr>
        <w:spacing w:after="200"/>
        <w:ind w:firstLine="0"/>
        <w:jc w:val="left"/>
        <w:rPr>
          <w:color w:val="000000"/>
          <w:szCs w:val="24"/>
        </w:rPr>
      </w:pPr>
      <w:r>
        <w:br w:type="page"/>
      </w:r>
    </w:p>
    <w:p w:rsidR="003A01CB" w:rsidRPr="007B03FB" w:rsidRDefault="003A01CB" w:rsidP="00305DC3">
      <w:pPr>
        <w:pStyle w:val="Default"/>
        <w:widowControl/>
        <w:spacing w:line="360" w:lineRule="auto"/>
        <w:jc w:val="both"/>
        <w:rPr>
          <w:rFonts w:ascii="Calibri" w:hAnsi="Calibri"/>
          <w:sz w:val="22"/>
          <w:lang w:val="es-CL"/>
        </w:rPr>
      </w:pPr>
    </w:p>
    <w:p w:rsidR="003A01CB" w:rsidRPr="007B03FB" w:rsidRDefault="003A01CB" w:rsidP="007879F0">
      <w:pPr>
        <w:pStyle w:val="Heading1"/>
        <w:rPr>
          <w:rFonts w:ascii="Cambria" w:hAnsi="Cambria"/>
          <w:b/>
          <w:color w:val="auto"/>
        </w:rPr>
      </w:pPr>
      <w:r w:rsidRPr="007B03FB">
        <w:rPr>
          <w:rFonts w:ascii="Cambria" w:hAnsi="Cambria"/>
          <w:b/>
          <w:color w:val="auto"/>
        </w:rPr>
        <w:t>Actividades</w:t>
      </w:r>
    </w:p>
    <w:p w:rsidR="003A01CB" w:rsidRDefault="003A01CB" w:rsidP="0065779A">
      <w:r>
        <w:t>A continuación, se describen las actividades a realizar en el laboratorio:</w:t>
      </w:r>
    </w:p>
    <w:p w:rsidR="003A01CB" w:rsidRPr="0065779A" w:rsidRDefault="003A01CB" w:rsidP="0065779A"/>
    <w:p w:rsidR="003A01CB" w:rsidRPr="00305DC3" w:rsidRDefault="003A01CB" w:rsidP="00305DC3">
      <w:pPr>
        <w:pStyle w:val="Heading2"/>
        <w:numPr>
          <w:ilvl w:val="1"/>
          <w:numId w:val="2"/>
        </w:numPr>
        <w:ind w:left="709" w:hanging="709"/>
        <w:rPr>
          <w:b/>
        </w:rPr>
      </w:pPr>
      <w:r w:rsidRPr="00305DC3">
        <w:rPr>
          <w:b/>
        </w:rPr>
        <w:t>Preliminar</w:t>
      </w:r>
    </w:p>
    <w:p w:rsidR="003A01CB" w:rsidRPr="007B03FB" w:rsidRDefault="003A01CB" w:rsidP="0065779A">
      <w:pPr>
        <w:pStyle w:val="Heading2"/>
        <w:spacing w:line="360" w:lineRule="auto"/>
        <w:rPr>
          <w:rFonts w:ascii="Calibri" w:hAnsi="Calibri"/>
          <w:sz w:val="22"/>
        </w:rPr>
      </w:pPr>
      <w:r w:rsidRPr="007B03FB">
        <w:rPr>
          <w:rFonts w:ascii="Calibri" w:hAnsi="Calibri"/>
          <w:sz w:val="22"/>
        </w:rPr>
        <w:tab/>
        <w:t>Observe las características constructivas de la máquina y de la turbina pelton por ensayar, las cuales se deberán emplear en las dos sesiones</w:t>
      </w:r>
      <w:r>
        <w:rPr>
          <w:rFonts w:ascii="Calibri" w:hAnsi="Calibri"/>
          <w:sz w:val="22"/>
        </w:rPr>
        <w:t xml:space="preserve"> de Generador Sincrónico</w:t>
      </w:r>
      <w:r w:rsidRPr="007B03FB">
        <w:rPr>
          <w:rFonts w:ascii="Calibri" w:hAnsi="Calibri"/>
          <w:sz w:val="22"/>
        </w:rPr>
        <w:t>. Registre la siguiente información: fuente de excitación, tipo de rotor, valores nominales de tensión, corrientes de estator y de campo. ¿Qué indican los medidores que están en el acrílico?</w:t>
      </w:r>
    </w:p>
    <w:p w:rsidR="003A01CB" w:rsidRPr="00305DC3" w:rsidRDefault="003A01CB" w:rsidP="00305DC3">
      <w:pPr>
        <w:pStyle w:val="Heading2"/>
        <w:numPr>
          <w:ilvl w:val="1"/>
          <w:numId w:val="2"/>
        </w:numPr>
        <w:ind w:left="709" w:hanging="709"/>
        <w:rPr>
          <w:b/>
        </w:rPr>
      </w:pPr>
      <w:r w:rsidRPr="00305DC3">
        <w:rPr>
          <w:b/>
        </w:rPr>
        <w:t>Altura Equivalente y Velocidad de Giro</w:t>
      </w:r>
    </w:p>
    <w:p w:rsidR="003A01CB" w:rsidRPr="007B03FB" w:rsidRDefault="003A01CB" w:rsidP="0065779A">
      <w:pPr>
        <w:pStyle w:val="Heading2"/>
        <w:spacing w:line="360" w:lineRule="auto"/>
        <w:rPr>
          <w:rFonts w:ascii="Calibri" w:hAnsi="Calibri"/>
          <w:sz w:val="22"/>
        </w:rPr>
      </w:pPr>
      <w:r w:rsidRPr="007B03FB">
        <w:rPr>
          <w:rFonts w:ascii="Calibri" w:hAnsi="Calibri"/>
          <w:sz w:val="22"/>
        </w:rPr>
        <w:tab/>
        <w:t xml:space="preserve">Obtenga la curva altura del agua v/s velocidad de giro del eje para al menos tres posiciones de la válvula. </w:t>
      </w:r>
    </w:p>
    <w:p w:rsidR="003A01CB" w:rsidRPr="00305DC3" w:rsidRDefault="003A01CB" w:rsidP="00305DC3">
      <w:pPr>
        <w:pStyle w:val="Heading2"/>
        <w:numPr>
          <w:ilvl w:val="1"/>
          <w:numId w:val="2"/>
        </w:numPr>
        <w:ind w:left="709" w:hanging="709"/>
        <w:rPr>
          <w:b/>
        </w:rPr>
      </w:pPr>
      <w:r w:rsidRPr="00305DC3">
        <w:rPr>
          <w:b/>
        </w:rPr>
        <w:t>Característica de Saturación</w:t>
      </w:r>
    </w:p>
    <w:p w:rsidR="003A01CB" w:rsidRPr="007B03FB" w:rsidRDefault="003A01CB" w:rsidP="00864838">
      <w:pPr>
        <w:pStyle w:val="Heading2"/>
        <w:spacing w:line="360" w:lineRule="auto"/>
        <w:rPr>
          <w:rFonts w:ascii="Calibri" w:hAnsi="Calibri"/>
          <w:sz w:val="22"/>
        </w:rPr>
      </w:pPr>
      <w:r w:rsidRPr="007B03FB">
        <w:rPr>
          <w:rFonts w:ascii="Calibri" w:hAnsi="Calibri"/>
          <w:sz w:val="22"/>
        </w:rPr>
        <w:tab/>
        <w:t xml:space="preserve">Obtenga la característica de saturación en vacío, a velocidad nominal, hasta el límite permisible. </w:t>
      </w:r>
    </w:p>
    <w:p w:rsidR="003A01CB" w:rsidRPr="00305DC3" w:rsidRDefault="003A01CB" w:rsidP="00305DC3">
      <w:pPr>
        <w:pStyle w:val="Heading2"/>
        <w:numPr>
          <w:ilvl w:val="1"/>
          <w:numId w:val="2"/>
        </w:numPr>
        <w:ind w:left="709" w:hanging="709"/>
        <w:rPr>
          <w:b/>
        </w:rPr>
      </w:pPr>
      <w:r w:rsidRPr="00305DC3">
        <w:rPr>
          <w:b/>
        </w:rPr>
        <w:t>Característica de Cortocircuito</w:t>
      </w:r>
    </w:p>
    <w:p w:rsidR="003A01CB" w:rsidRPr="007B03FB" w:rsidRDefault="003A01CB" w:rsidP="0065779A">
      <w:pPr>
        <w:spacing w:line="360" w:lineRule="auto"/>
      </w:pPr>
      <w:r w:rsidRPr="007B03FB">
        <w:t xml:space="preserve">Obtenga la característica de cortocircuito de la máquina sincrónica para dos velocidades (siendo una la nominal), hasta la corriente de estator nominal. Experimente si la variación de velocidad afecta a las magnitudes en la característica de cortocircuito. </w:t>
      </w:r>
    </w:p>
    <w:p w:rsidR="003A01CB" w:rsidRPr="00305DC3" w:rsidRDefault="003A01CB" w:rsidP="00305DC3">
      <w:pPr>
        <w:pStyle w:val="Heading2"/>
        <w:numPr>
          <w:ilvl w:val="1"/>
          <w:numId w:val="2"/>
        </w:numPr>
        <w:ind w:left="709" w:hanging="709"/>
        <w:rPr>
          <w:b/>
        </w:rPr>
      </w:pPr>
      <w:r w:rsidRPr="00305DC3">
        <w:rPr>
          <w:b/>
        </w:rPr>
        <w:t>Característica con Carga</w:t>
      </w:r>
    </w:p>
    <w:p w:rsidR="003A01CB" w:rsidRPr="007B03FB" w:rsidRDefault="003A01CB" w:rsidP="0065779A">
      <w:pPr>
        <w:spacing w:line="360" w:lineRule="auto"/>
      </w:pPr>
      <w:r w:rsidRPr="007B03FB">
        <w:t>Obtenga la característica con carga (V vs. I) ajustando, como condiciones iniciales, un voltaje de estator nominal para corriente de estator nominal. Los valores deberán tomarse con corriente de excitación y velocidad constantes. Dicha característica deberá obtenerse en lo posible para tres condiciones de factor de potencia de la carga: inductivo, resistivo y capacitivo.</w:t>
      </w:r>
    </w:p>
    <w:p w:rsidR="003A01CB" w:rsidRPr="00305DC3" w:rsidRDefault="003A01CB" w:rsidP="00305DC3">
      <w:pPr>
        <w:pStyle w:val="Heading2"/>
        <w:numPr>
          <w:ilvl w:val="1"/>
          <w:numId w:val="2"/>
        </w:numPr>
        <w:ind w:left="709" w:hanging="709"/>
        <w:rPr>
          <w:b/>
        </w:rPr>
      </w:pPr>
      <w:r w:rsidRPr="00305DC3">
        <w:rPr>
          <w:b/>
        </w:rPr>
        <w:t>Eficiencia en Tensión y Frecuencia Nominal</w:t>
      </w:r>
    </w:p>
    <w:p w:rsidR="003A01CB" w:rsidRPr="007B03FB" w:rsidRDefault="003A01CB" w:rsidP="0065779A">
      <w:pPr>
        <w:spacing w:line="360" w:lineRule="auto"/>
      </w:pPr>
      <w:r w:rsidRPr="007B03FB">
        <w:t>Obtenga las curvas de potencia mecánica P</w:t>
      </w:r>
      <w:r w:rsidRPr="007B03FB">
        <w:rPr>
          <w:vertAlign w:val="subscript"/>
        </w:rPr>
        <w:t>M</w:t>
      </w:r>
      <w:r w:rsidRPr="007B03FB">
        <w:t xml:space="preserve"> y la eficiencia η</w:t>
      </w:r>
      <w:r w:rsidRPr="007B03FB">
        <w:rPr>
          <w:vertAlign w:val="subscript"/>
        </w:rPr>
        <w:t>T</w:t>
      </w:r>
      <w:r w:rsidRPr="007B03FB">
        <w:t xml:space="preserve"> del conjunto turbina - generador en función del caudal. Asegúrese que a la salida del generador la frecuencia sea 50[Hz] y la tensión 380</w:t>
      </w:r>
      <w:r>
        <w:t>[</w:t>
      </w:r>
      <w:r w:rsidRPr="007B03FB">
        <w:t>V</w:t>
      </w:r>
      <w:r>
        <w:t>] entre fases</w:t>
      </w:r>
      <w:r w:rsidRPr="007B03FB">
        <w:t xml:space="preserve"> para todas las medidas (varíe la carga de la máquina si es necesario). </w:t>
      </w:r>
    </w:p>
    <w:p w:rsidR="003A01CB" w:rsidRPr="0065779A" w:rsidRDefault="003A01CB" w:rsidP="0065779A">
      <w:pPr>
        <w:spacing w:line="360" w:lineRule="auto"/>
        <w:rPr>
          <w:rFonts w:ascii="Garamond" w:hAnsi="Garamond"/>
          <w:sz w:val="24"/>
        </w:rPr>
      </w:pPr>
    </w:p>
    <w:p w:rsidR="003A01CB" w:rsidRPr="00854A32" w:rsidRDefault="003A01CB" w:rsidP="00702AAF">
      <w:pPr>
        <w:pStyle w:val="Heading1"/>
        <w:rPr>
          <w:rFonts w:ascii="Cambria" w:hAnsi="Cambria"/>
          <w:b/>
          <w:color w:val="auto"/>
        </w:rPr>
      </w:pPr>
      <w:bookmarkStart w:id="0" w:name="_GoBack"/>
      <w:bookmarkEnd w:id="0"/>
      <w:r w:rsidRPr="00854A32">
        <w:rPr>
          <w:rFonts w:ascii="Cambria" w:hAnsi="Cambria"/>
          <w:b/>
          <w:color w:val="auto"/>
        </w:rPr>
        <w:t>notas para el desarrollo de la experiencia</w:t>
      </w:r>
    </w:p>
    <w:p w:rsidR="003A01CB" w:rsidRPr="00854A32" w:rsidRDefault="003A01CB" w:rsidP="005949E7">
      <w:pPr>
        <w:pStyle w:val="Heading2"/>
        <w:spacing w:line="360" w:lineRule="auto"/>
        <w:ind w:left="720"/>
        <w:rPr>
          <w:rFonts w:ascii="Calibri" w:hAnsi="Calibri"/>
          <w:sz w:val="22"/>
        </w:rPr>
      </w:pPr>
    </w:p>
    <w:p w:rsidR="003A01CB" w:rsidRPr="00854A32" w:rsidRDefault="003A01CB" w:rsidP="008850FE">
      <w:pPr>
        <w:pStyle w:val="Heading2"/>
        <w:numPr>
          <w:ilvl w:val="0"/>
          <w:numId w:val="3"/>
        </w:numPr>
        <w:spacing w:line="360" w:lineRule="auto"/>
        <w:ind w:left="567" w:hanging="567"/>
        <w:rPr>
          <w:rFonts w:ascii="Calibri" w:hAnsi="Calibri"/>
          <w:sz w:val="22"/>
        </w:rPr>
      </w:pPr>
      <w:r w:rsidRPr="00854A32">
        <w:rPr>
          <w:rFonts w:ascii="Calibri" w:hAnsi="Calibri"/>
          <w:sz w:val="22"/>
        </w:rPr>
        <w:t>Trabajar con las debidas precauciones considerando que hay partes girando a alta velocidad.</w:t>
      </w:r>
    </w:p>
    <w:p w:rsidR="003A01CB" w:rsidRPr="00854A32" w:rsidRDefault="003A01CB" w:rsidP="008850FE">
      <w:pPr>
        <w:pStyle w:val="Heading2"/>
        <w:numPr>
          <w:ilvl w:val="0"/>
          <w:numId w:val="3"/>
        </w:numPr>
        <w:spacing w:line="360" w:lineRule="auto"/>
        <w:ind w:left="567" w:hanging="567"/>
        <w:rPr>
          <w:rFonts w:ascii="Calibri" w:hAnsi="Calibri"/>
          <w:sz w:val="22"/>
        </w:rPr>
      </w:pPr>
      <w:r w:rsidRPr="00854A32">
        <w:rPr>
          <w:rFonts w:ascii="Calibri" w:hAnsi="Calibri"/>
          <w:sz w:val="22"/>
        </w:rPr>
        <w:t>Tener cuidado con la sensibilidad de la válvula y la inercia de la turbina: si el caudal es muy grande puede producirse embalamiento.</w:t>
      </w:r>
    </w:p>
    <w:p w:rsidR="003A01CB" w:rsidRPr="00854A32" w:rsidRDefault="003A01CB" w:rsidP="008850FE">
      <w:pPr>
        <w:pStyle w:val="Heading2"/>
        <w:numPr>
          <w:ilvl w:val="0"/>
          <w:numId w:val="3"/>
        </w:numPr>
        <w:spacing w:line="360" w:lineRule="auto"/>
        <w:ind w:left="567" w:hanging="567"/>
        <w:rPr>
          <w:rFonts w:ascii="Calibri" w:hAnsi="Calibri"/>
          <w:sz w:val="22"/>
        </w:rPr>
      </w:pPr>
      <w:r w:rsidRPr="00854A32">
        <w:rPr>
          <w:rFonts w:ascii="Calibri" w:hAnsi="Calibri"/>
          <w:sz w:val="22"/>
        </w:rPr>
        <w:t xml:space="preserve">Para la construcción de la curva de excitación o saturación en vacío (C.3) asegúrese de: (i) Tomar datos en orden ascendente según la corriente de campo (hasta alcanzar su valor nominal), y (ii) Mantener la velocidad de giro nominal constante en el proceso, corrigiéndola si es necesario (para esto manipule la válvula para modificar el área de paso). </w:t>
      </w:r>
    </w:p>
    <w:p w:rsidR="003A01CB" w:rsidRPr="00854A32" w:rsidRDefault="003A01CB" w:rsidP="008850FE">
      <w:pPr>
        <w:pStyle w:val="Heading2"/>
        <w:numPr>
          <w:ilvl w:val="0"/>
          <w:numId w:val="3"/>
        </w:numPr>
        <w:spacing w:line="360" w:lineRule="auto"/>
        <w:ind w:left="567" w:hanging="567"/>
        <w:rPr>
          <w:rFonts w:ascii="Calibri" w:hAnsi="Calibri"/>
          <w:sz w:val="22"/>
        </w:rPr>
      </w:pPr>
      <w:r w:rsidRPr="00854A32">
        <w:rPr>
          <w:rFonts w:ascii="Calibri" w:hAnsi="Calibri"/>
          <w:sz w:val="22"/>
        </w:rPr>
        <w:t>En C.4, asegúrese que, para todos los puntos experimentales de cada curva, la velocidad no cambie significativamente. Si es necesario, corríjala mediante la manipulación de la válvula.</w:t>
      </w:r>
    </w:p>
    <w:p w:rsidR="003A01CB" w:rsidRDefault="003A01CB" w:rsidP="008850FE">
      <w:pPr>
        <w:pStyle w:val="Heading2"/>
        <w:numPr>
          <w:ilvl w:val="0"/>
          <w:numId w:val="3"/>
        </w:numPr>
        <w:spacing w:line="360" w:lineRule="auto"/>
        <w:ind w:left="567" w:hanging="567"/>
        <w:rPr>
          <w:rFonts w:ascii="Calibri" w:hAnsi="Calibri"/>
          <w:sz w:val="22"/>
          <w:szCs w:val="24"/>
        </w:rPr>
      </w:pPr>
      <w:r w:rsidRPr="00854A32">
        <w:rPr>
          <w:rFonts w:ascii="Calibri" w:hAnsi="Calibri"/>
          <w:sz w:val="22"/>
        </w:rPr>
        <w:t xml:space="preserve">En C.6 procure que, para todos los puntos de la curva, la corriente de excitación y la velocidad de giro del eje no cambien significativamente. Si es necesario, ajústelas para cada punto. Igualmente recuerde que, para cada curva, el factor de potencia de la </w:t>
      </w:r>
      <w:r w:rsidRPr="00854A32">
        <w:rPr>
          <w:rFonts w:ascii="Calibri" w:hAnsi="Calibri"/>
          <w:sz w:val="22"/>
          <w:szCs w:val="24"/>
        </w:rPr>
        <w:t>impedancia de carga debe ser el mismo (en cada valor experimental).</w:t>
      </w:r>
    </w:p>
    <w:p w:rsidR="003A01CB" w:rsidRPr="00854A32" w:rsidRDefault="003A01CB" w:rsidP="008850FE">
      <w:pPr>
        <w:pStyle w:val="Heading2"/>
        <w:spacing w:line="360" w:lineRule="auto"/>
        <w:rPr>
          <w:rFonts w:ascii="Calibri" w:hAnsi="Calibri"/>
          <w:sz w:val="22"/>
          <w:szCs w:val="24"/>
        </w:rPr>
      </w:pPr>
    </w:p>
    <w:p w:rsidR="003A01CB" w:rsidRPr="00854A32" w:rsidRDefault="003A01CB" w:rsidP="00702AAF">
      <w:pPr>
        <w:pStyle w:val="Heading1"/>
        <w:rPr>
          <w:rFonts w:ascii="Cambria" w:hAnsi="Cambria"/>
          <w:b/>
          <w:color w:val="auto"/>
        </w:rPr>
      </w:pPr>
      <w:r>
        <w:rPr>
          <w:rFonts w:ascii="Cambria" w:hAnsi="Cambria"/>
          <w:b/>
          <w:color w:val="auto"/>
        </w:rPr>
        <w:br w:type="page"/>
      </w:r>
      <w:r w:rsidRPr="00854A32">
        <w:rPr>
          <w:rFonts w:ascii="Cambria" w:hAnsi="Cambria"/>
          <w:b/>
          <w:color w:val="auto"/>
        </w:rPr>
        <w:t>Referencias</w:t>
      </w:r>
    </w:p>
    <w:p w:rsidR="003A01CB" w:rsidRPr="00854A32" w:rsidRDefault="003A01CB" w:rsidP="00884909">
      <w:pPr>
        <w:spacing w:line="360" w:lineRule="auto"/>
        <w:rPr>
          <w:sz w:val="20"/>
        </w:rPr>
      </w:pPr>
    </w:p>
    <w:p w:rsidR="003A01CB" w:rsidRPr="00854A32" w:rsidRDefault="003A01CB" w:rsidP="00884909">
      <w:pPr>
        <w:pStyle w:val="Referencias"/>
        <w:ind w:left="357" w:hanging="357"/>
        <w:rPr>
          <w:lang w:val="en-US"/>
        </w:rPr>
      </w:pPr>
      <w:bookmarkStart w:id="1" w:name="_Ref286410894"/>
      <w:r w:rsidRPr="00854A32">
        <w:rPr>
          <w:lang w:val="en-US"/>
        </w:rPr>
        <w:t>Fitzgerald, A y Kingsley C., Jr, “Electric Machines”, 1961, 2nd Ed, Mc Graw-Hill</w:t>
      </w:r>
      <w:bookmarkEnd w:id="1"/>
    </w:p>
    <w:p w:rsidR="003A01CB" w:rsidRPr="00854A32" w:rsidRDefault="003A01CB" w:rsidP="00884909">
      <w:pPr>
        <w:pStyle w:val="Referencias"/>
        <w:ind w:left="357" w:hanging="357"/>
      </w:pPr>
      <w:r w:rsidRPr="00854A32">
        <w:t>Thaler, G. y Wilcox, M., “Máquinas Eléctricas”, 1969, Limusa – Wiley</w:t>
      </w:r>
    </w:p>
    <w:p w:rsidR="003A01CB" w:rsidRPr="00854A32" w:rsidRDefault="003A01CB" w:rsidP="00884909">
      <w:pPr>
        <w:pStyle w:val="Referencias"/>
        <w:ind w:left="357" w:hanging="357"/>
      </w:pPr>
      <w:r w:rsidRPr="00854A32">
        <w:t>Kostenko, M. y Piotrovsky, L., “Máquinas Eléctricas”, 1968, Montaner</w:t>
      </w:r>
    </w:p>
    <w:p w:rsidR="003A01CB" w:rsidRPr="00854A32" w:rsidRDefault="003A01CB" w:rsidP="00884909">
      <w:pPr>
        <w:pStyle w:val="Referencias"/>
        <w:ind w:left="357" w:hanging="357"/>
      </w:pPr>
      <w:r w:rsidRPr="00854A32">
        <w:t>“Máquinas Eléctricas”, 1983, Publicación C/5, Depto. de Ingeniería Eléctrica, Univ. de Chile, (Parte "Máquinas Sincrónicas")</w:t>
      </w:r>
    </w:p>
    <w:p w:rsidR="003A01CB" w:rsidRPr="00854A32" w:rsidRDefault="003A01CB" w:rsidP="00884909">
      <w:pPr>
        <w:pStyle w:val="Referencias"/>
        <w:ind w:left="357" w:hanging="357"/>
        <w:rPr>
          <w:lang w:val="en-US"/>
        </w:rPr>
      </w:pPr>
      <w:r w:rsidRPr="00854A32">
        <w:t xml:space="preserve">Romo, J., Vargas, L., Texto “Apuntes EL42C, Conversión Electromecánica de la Energía”, Depto. </w:t>
      </w:r>
      <w:r w:rsidRPr="00854A32">
        <w:rPr>
          <w:lang w:val="en-US"/>
        </w:rPr>
        <w:t xml:space="preserve">Ing. Eléctrica, U. de Chile, 1st ed. 2003, 2nd ed. 2007. </w:t>
      </w:r>
    </w:p>
    <w:p w:rsidR="003A01CB" w:rsidRPr="00854A32" w:rsidRDefault="003A01CB" w:rsidP="00884909">
      <w:pPr>
        <w:pStyle w:val="Referencias"/>
        <w:numPr>
          <w:ilvl w:val="0"/>
          <w:numId w:val="0"/>
        </w:numPr>
        <w:ind w:left="357"/>
        <w:rPr>
          <w:lang w:val="en-US"/>
        </w:rPr>
      </w:pPr>
      <w:r w:rsidRPr="00854A32">
        <w:rPr>
          <w:lang w:val="en-US"/>
        </w:rPr>
        <w:t>http://146.83.6.25/lvargas/courses/el42c/apunteMaquinas.pdf , cap.7.</w:t>
      </w:r>
    </w:p>
    <w:sectPr w:rsidR="003A01CB" w:rsidRPr="00854A32" w:rsidSect="001B07C4">
      <w:headerReference w:type="even" r:id="rId10"/>
      <w:headerReference w:type="default" r:id="rId11"/>
      <w:footerReference w:type="default" r:id="rId12"/>
      <w:pgSz w:w="12240" w:h="15840"/>
      <w:pgMar w:top="27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1CB" w:rsidRDefault="003A01CB" w:rsidP="00D55C06">
      <w:pPr>
        <w:spacing w:after="0" w:line="240" w:lineRule="auto"/>
      </w:pPr>
      <w:r>
        <w:separator/>
      </w:r>
    </w:p>
  </w:endnote>
  <w:endnote w:type="continuationSeparator" w:id="1">
    <w:p w:rsidR="003A01CB" w:rsidRDefault="003A01CB" w:rsidP="00D55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1CB" w:rsidRDefault="003A01CB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3A01CB" w:rsidRDefault="003A01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1CB" w:rsidRDefault="003A01CB" w:rsidP="00D55C06">
      <w:pPr>
        <w:spacing w:after="0" w:line="240" w:lineRule="auto"/>
      </w:pPr>
      <w:r>
        <w:separator/>
      </w:r>
    </w:p>
  </w:footnote>
  <w:footnote w:type="continuationSeparator" w:id="1">
    <w:p w:rsidR="003A01CB" w:rsidRDefault="003A01CB" w:rsidP="00D55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1CB" w:rsidRDefault="003A01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988" w:type="dxa"/>
      <w:tblLook w:val="00A0"/>
    </w:tblPr>
    <w:tblGrid>
      <w:gridCol w:w="1972"/>
      <w:gridCol w:w="7008"/>
      <w:gridCol w:w="7008"/>
    </w:tblGrid>
    <w:tr w:rsidR="003A01CB" w:rsidRPr="00932D94" w:rsidTr="00932D94">
      <w:tc>
        <w:tcPr>
          <w:tcW w:w="1970" w:type="dxa"/>
        </w:tcPr>
        <w:p w:rsidR="003A01CB" w:rsidRPr="00932D94" w:rsidRDefault="003A01CB">
          <w:pPr>
            <w:pStyle w:val="Header"/>
          </w:pPr>
          <w:r>
            <w:rPr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2" o:spid="_x0000_s2049" type="#_x0000_t75" style="position:absolute;left:0;text-align:left;margin-left:23.7pt;margin-top:-.15pt;width:87.75pt;height:49.5pt;z-index:251660288;visibility:visible">
                <v:imagedata r:id="rId1" o:title=""/>
                <w10:wrap type="topAndBottom"/>
              </v:shape>
            </w:pict>
          </w:r>
        </w:p>
      </w:tc>
      <w:tc>
        <w:tcPr>
          <w:tcW w:w="7009" w:type="dxa"/>
        </w:tcPr>
        <w:p w:rsidR="003A01CB" w:rsidRPr="00932D94" w:rsidRDefault="003A01CB" w:rsidP="00932D94">
          <w:pPr>
            <w:pStyle w:val="Header"/>
            <w:spacing w:line="360" w:lineRule="auto"/>
            <w:rPr>
              <w:rFonts w:ascii="Arial" w:hAnsi="Arial" w:cs="Arial"/>
              <w:sz w:val="16"/>
            </w:rPr>
          </w:pPr>
          <w:r w:rsidRPr="00932D94">
            <w:rPr>
              <w:rFonts w:ascii="Arial" w:hAnsi="Arial" w:cs="Arial"/>
              <w:sz w:val="16"/>
            </w:rPr>
            <w:t>Universidad de Chile</w:t>
          </w:r>
        </w:p>
        <w:p w:rsidR="003A01CB" w:rsidRPr="00932D94" w:rsidRDefault="003A01CB" w:rsidP="00932D94">
          <w:pPr>
            <w:pStyle w:val="Header"/>
            <w:spacing w:line="360" w:lineRule="auto"/>
            <w:rPr>
              <w:rFonts w:ascii="Arial" w:hAnsi="Arial" w:cs="Arial"/>
              <w:sz w:val="16"/>
            </w:rPr>
          </w:pPr>
          <w:r w:rsidRPr="00932D94">
            <w:rPr>
              <w:rFonts w:ascii="Arial" w:hAnsi="Arial" w:cs="Arial"/>
              <w:sz w:val="16"/>
            </w:rPr>
            <w:t>Facultad de Ciencias Físicas y Matemáticas</w:t>
          </w:r>
        </w:p>
        <w:p w:rsidR="003A01CB" w:rsidRPr="00932D94" w:rsidRDefault="003A01CB" w:rsidP="00932D94">
          <w:pPr>
            <w:pStyle w:val="Header"/>
            <w:spacing w:line="360" w:lineRule="auto"/>
            <w:rPr>
              <w:rFonts w:ascii="Arial" w:hAnsi="Arial" w:cs="Arial"/>
              <w:sz w:val="16"/>
            </w:rPr>
          </w:pPr>
          <w:r w:rsidRPr="00932D94">
            <w:rPr>
              <w:rFonts w:ascii="Arial" w:hAnsi="Arial" w:cs="Arial"/>
              <w:sz w:val="16"/>
            </w:rPr>
            <w:t>Departamento de Ingeniería Eléctrica</w:t>
          </w:r>
        </w:p>
        <w:p w:rsidR="003A01CB" w:rsidRPr="00932D94" w:rsidRDefault="003A01CB" w:rsidP="00932D94">
          <w:pPr>
            <w:pStyle w:val="Header"/>
            <w:spacing w:line="360" w:lineRule="auto"/>
            <w:rPr>
              <w:b/>
              <w:sz w:val="20"/>
            </w:rPr>
          </w:pPr>
          <w:r w:rsidRPr="00932D94">
            <w:rPr>
              <w:rFonts w:ascii="Arial" w:hAnsi="Arial" w:cs="Arial"/>
              <w:sz w:val="16"/>
            </w:rPr>
            <w:t>EL5203 – Laboratorio de Sistemas de Energía</w:t>
          </w:r>
        </w:p>
      </w:tc>
      <w:tc>
        <w:tcPr>
          <w:tcW w:w="7009" w:type="dxa"/>
        </w:tcPr>
        <w:p w:rsidR="003A01CB" w:rsidRPr="00932D94" w:rsidRDefault="003A01CB">
          <w:pPr>
            <w:pStyle w:val="Header"/>
            <w:rPr>
              <w:b/>
              <w:sz w:val="20"/>
            </w:rPr>
          </w:pPr>
        </w:p>
      </w:tc>
    </w:tr>
  </w:tbl>
  <w:p w:rsidR="003A01CB" w:rsidRDefault="003A01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0E2A52"/>
    <w:multiLevelType w:val="hybridMultilevel"/>
    <w:tmpl w:val="9FB807C2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843C4"/>
    <w:multiLevelType w:val="hybridMultilevel"/>
    <w:tmpl w:val="04E66EBE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726FF"/>
    <w:multiLevelType w:val="hybridMultilevel"/>
    <w:tmpl w:val="C574B0A2"/>
    <w:lvl w:ilvl="0" w:tplc="AD9608F2">
      <w:start w:val="1"/>
      <w:numFmt w:val="decimal"/>
      <w:pStyle w:val="Referencias"/>
      <w:lvlText w:val="[%1]"/>
      <w:lvlJc w:val="left"/>
      <w:pPr>
        <w:ind w:left="1429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7B67D6"/>
    <w:multiLevelType w:val="multilevel"/>
    <w:tmpl w:val="A4D6351E"/>
    <w:lvl w:ilvl="0">
      <w:start w:val="1"/>
      <w:numFmt w:val="upperLetter"/>
      <w:pStyle w:val="Heading1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C.%2"/>
      <w:lvlJc w:val="left"/>
      <w:pPr>
        <w:ind w:left="851" w:hanging="851"/>
      </w:pPr>
      <w:rPr>
        <w:rFonts w:cs="Times New Roman" w:hint="default"/>
      </w:rPr>
    </w:lvl>
    <w:lvl w:ilvl="2">
      <w:start w:val="1"/>
      <w:numFmt w:val="decimal"/>
      <w:pStyle w:val="Subtitle"/>
      <w:lvlText w:val="%1.%2.%3."/>
      <w:lvlJc w:val="right"/>
      <w:pPr>
        <w:ind w:left="1247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C06"/>
    <w:rsid w:val="00034CAD"/>
    <w:rsid w:val="00066C8C"/>
    <w:rsid w:val="00071172"/>
    <w:rsid w:val="000B7B20"/>
    <w:rsid w:val="000C53BB"/>
    <w:rsid w:val="000E7291"/>
    <w:rsid w:val="00112CF7"/>
    <w:rsid w:val="00135AFF"/>
    <w:rsid w:val="00162461"/>
    <w:rsid w:val="00170AF0"/>
    <w:rsid w:val="001B07C4"/>
    <w:rsid w:val="001C4491"/>
    <w:rsid w:val="001C67F0"/>
    <w:rsid w:val="001E7644"/>
    <w:rsid w:val="00250606"/>
    <w:rsid w:val="002721AC"/>
    <w:rsid w:val="002E2593"/>
    <w:rsid w:val="00301F4E"/>
    <w:rsid w:val="00305DC3"/>
    <w:rsid w:val="00317CC1"/>
    <w:rsid w:val="00324C3D"/>
    <w:rsid w:val="00343AEE"/>
    <w:rsid w:val="0039226D"/>
    <w:rsid w:val="003A01CB"/>
    <w:rsid w:val="003D268A"/>
    <w:rsid w:val="003D78A8"/>
    <w:rsid w:val="003E37E1"/>
    <w:rsid w:val="003F5FCD"/>
    <w:rsid w:val="00406675"/>
    <w:rsid w:val="00425905"/>
    <w:rsid w:val="004745E2"/>
    <w:rsid w:val="004B0323"/>
    <w:rsid w:val="004C30FF"/>
    <w:rsid w:val="004C4EA7"/>
    <w:rsid w:val="00504159"/>
    <w:rsid w:val="00511A5D"/>
    <w:rsid w:val="00513E6B"/>
    <w:rsid w:val="00555CCB"/>
    <w:rsid w:val="005949E7"/>
    <w:rsid w:val="00595335"/>
    <w:rsid w:val="00621D1E"/>
    <w:rsid w:val="006320A1"/>
    <w:rsid w:val="00650336"/>
    <w:rsid w:val="0065779A"/>
    <w:rsid w:val="00667540"/>
    <w:rsid w:val="0069241A"/>
    <w:rsid w:val="006C171B"/>
    <w:rsid w:val="006C61F7"/>
    <w:rsid w:val="006E20DF"/>
    <w:rsid w:val="006E2850"/>
    <w:rsid w:val="00702AAF"/>
    <w:rsid w:val="007127FE"/>
    <w:rsid w:val="0076011B"/>
    <w:rsid w:val="007776A7"/>
    <w:rsid w:val="007850E9"/>
    <w:rsid w:val="007879F0"/>
    <w:rsid w:val="007A0141"/>
    <w:rsid w:val="007B03FB"/>
    <w:rsid w:val="007C20FF"/>
    <w:rsid w:val="007E4877"/>
    <w:rsid w:val="00835D59"/>
    <w:rsid w:val="00854A32"/>
    <w:rsid w:val="00864838"/>
    <w:rsid w:val="0087512B"/>
    <w:rsid w:val="00884909"/>
    <w:rsid w:val="008850FE"/>
    <w:rsid w:val="008A474D"/>
    <w:rsid w:val="008B1024"/>
    <w:rsid w:val="008C2A3A"/>
    <w:rsid w:val="00913D2F"/>
    <w:rsid w:val="00932D94"/>
    <w:rsid w:val="00971199"/>
    <w:rsid w:val="009915C9"/>
    <w:rsid w:val="009C337A"/>
    <w:rsid w:val="009D7D76"/>
    <w:rsid w:val="009E5467"/>
    <w:rsid w:val="00A20EAE"/>
    <w:rsid w:val="00A61EAE"/>
    <w:rsid w:val="00AF7982"/>
    <w:rsid w:val="00B05F29"/>
    <w:rsid w:val="00B271EA"/>
    <w:rsid w:val="00B37792"/>
    <w:rsid w:val="00B523EF"/>
    <w:rsid w:val="00B66F02"/>
    <w:rsid w:val="00BA6AC0"/>
    <w:rsid w:val="00C35AF8"/>
    <w:rsid w:val="00C922E5"/>
    <w:rsid w:val="00CB0209"/>
    <w:rsid w:val="00CC6859"/>
    <w:rsid w:val="00CF79CF"/>
    <w:rsid w:val="00D41559"/>
    <w:rsid w:val="00D421E0"/>
    <w:rsid w:val="00D503BE"/>
    <w:rsid w:val="00D55C06"/>
    <w:rsid w:val="00D842A2"/>
    <w:rsid w:val="00D87968"/>
    <w:rsid w:val="00DB099D"/>
    <w:rsid w:val="00DD6094"/>
    <w:rsid w:val="00DE2767"/>
    <w:rsid w:val="00DF735F"/>
    <w:rsid w:val="00E3261E"/>
    <w:rsid w:val="00E60CDD"/>
    <w:rsid w:val="00E659BE"/>
    <w:rsid w:val="00EB1A5C"/>
    <w:rsid w:val="00EB7F74"/>
    <w:rsid w:val="00ED5637"/>
    <w:rsid w:val="00EE4642"/>
    <w:rsid w:val="00F1790D"/>
    <w:rsid w:val="00F27B31"/>
    <w:rsid w:val="00F51231"/>
    <w:rsid w:val="00F53D4C"/>
    <w:rsid w:val="00F86B45"/>
    <w:rsid w:val="00F93597"/>
    <w:rsid w:val="00FD0EEE"/>
    <w:rsid w:val="00FE777C"/>
    <w:rsid w:val="00FF6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2E5"/>
    <w:pPr>
      <w:spacing w:after="120" w:line="276" w:lineRule="auto"/>
      <w:ind w:firstLine="709"/>
      <w:jc w:val="both"/>
    </w:pPr>
    <w:rPr>
      <w:lang w:val="es-C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922E5"/>
    <w:pPr>
      <w:keepNext/>
      <w:keepLines/>
      <w:numPr>
        <w:numId w:val="2"/>
      </w:numPr>
      <w:spacing w:before="240"/>
      <w:outlineLvl w:val="0"/>
    </w:pPr>
    <w:rPr>
      <w:rFonts w:ascii="Tahoma" w:eastAsia="Times New Roman" w:hAnsi="Tahoma"/>
      <w:bCs/>
      <w:caps/>
      <w:color w:val="365F9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22E5"/>
    <w:pPr>
      <w:keepNext/>
      <w:keepLines/>
      <w:spacing w:before="120"/>
      <w:ind w:firstLine="0"/>
      <w:outlineLvl w:val="1"/>
    </w:pPr>
    <w:rPr>
      <w:rFonts w:ascii="Cambria" w:eastAsia="Times New Roman" w:hAnsi="Cambria"/>
      <w:bCs/>
      <w:color w:val="000000"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922E5"/>
    <w:rPr>
      <w:rFonts w:ascii="Tahoma" w:hAnsi="Tahoma" w:cs="Times New Roman"/>
      <w:bCs/>
      <w:cap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922E5"/>
    <w:rPr>
      <w:rFonts w:ascii="Cambria" w:hAnsi="Cambria" w:cs="Times New Roman"/>
      <w:bCs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rsid w:val="00D55C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55C0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55C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55C0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55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5C0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D55C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0336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7879F0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17365D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7879F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ListParagraph">
    <w:name w:val="List Paragraph"/>
    <w:basedOn w:val="Normal"/>
    <w:link w:val="ListParagraphChar"/>
    <w:uiPriority w:val="99"/>
    <w:qFormat/>
    <w:rsid w:val="00B37792"/>
    <w:pPr>
      <w:ind w:left="720"/>
      <w:contextualSpacing/>
    </w:pPr>
  </w:style>
  <w:style w:type="paragraph" w:customStyle="1" w:styleId="Referencias">
    <w:name w:val="Referencias"/>
    <w:basedOn w:val="ListParagraph"/>
    <w:link w:val="ReferenciasCar"/>
    <w:uiPriority w:val="99"/>
    <w:rsid w:val="00B37792"/>
    <w:pPr>
      <w:numPr>
        <w:numId w:val="1"/>
      </w:numPr>
      <w:spacing w:after="0" w:line="360" w:lineRule="auto"/>
    </w:pPr>
  </w:style>
  <w:style w:type="paragraph" w:styleId="Subtitle">
    <w:name w:val="Subtitle"/>
    <w:basedOn w:val="Normal"/>
    <w:next w:val="Normal"/>
    <w:link w:val="SubtitleChar"/>
    <w:uiPriority w:val="99"/>
    <w:qFormat/>
    <w:rsid w:val="00835D59"/>
    <w:pPr>
      <w:numPr>
        <w:ilvl w:val="2"/>
        <w:numId w:val="2"/>
      </w:numPr>
      <w:jc w:val="left"/>
    </w:pPr>
    <w:rPr>
      <w:rFonts w:ascii="Cambria" w:eastAsia="Times New Roman" w:hAnsi="Cambria"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35D59"/>
    <w:rPr>
      <w:rFonts w:ascii="Cambria" w:hAnsi="Cambria" w:cs="Times New Roman"/>
      <w:iCs/>
      <w:color w:val="4F81BD"/>
      <w:spacing w:val="15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B37792"/>
    <w:rPr>
      <w:rFonts w:cs="Times New Roman"/>
    </w:rPr>
  </w:style>
  <w:style w:type="character" w:customStyle="1" w:styleId="ReferenciasCar">
    <w:name w:val="Referencias Car"/>
    <w:basedOn w:val="ListParagraphChar"/>
    <w:link w:val="Referencias"/>
    <w:uiPriority w:val="99"/>
    <w:locked/>
    <w:rsid w:val="00B37792"/>
  </w:style>
  <w:style w:type="paragraph" w:customStyle="1" w:styleId="Default">
    <w:name w:val="Default"/>
    <w:uiPriority w:val="99"/>
    <w:rsid w:val="00F27B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97119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711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7119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711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71199"/>
    <w:rPr>
      <w:b/>
      <w:bCs/>
    </w:rPr>
  </w:style>
  <w:style w:type="paragraph" w:styleId="Revision">
    <w:name w:val="Revision"/>
    <w:hidden/>
    <w:uiPriority w:val="99"/>
    <w:semiHidden/>
    <w:rsid w:val="00971199"/>
    <w:rPr>
      <w:lang w:val="es-CL"/>
    </w:rPr>
  </w:style>
  <w:style w:type="paragraph" w:styleId="Caption">
    <w:name w:val="caption"/>
    <w:basedOn w:val="Normal"/>
    <w:next w:val="Normal"/>
    <w:uiPriority w:val="99"/>
    <w:qFormat/>
    <w:rsid w:val="00324C3D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NoSpacing">
    <w:name w:val="No Spacing"/>
    <w:uiPriority w:val="99"/>
    <w:qFormat/>
    <w:rsid w:val="00EE4642"/>
    <w:rPr>
      <w:lang w:val="es-CL"/>
    </w:rPr>
  </w:style>
  <w:style w:type="paragraph" w:styleId="DocumentMap">
    <w:name w:val="Document Map"/>
    <w:basedOn w:val="Normal"/>
    <w:link w:val="DocumentMapChar"/>
    <w:uiPriority w:val="99"/>
    <w:semiHidden/>
    <w:rsid w:val="00DB0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B0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6</Pages>
  <Words>989</Words>
  <Characters>5445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LoRoLink</dc:creator>
  <cp:keywords/>
  <dc:description/>
  <cp:lastModifiedBy>cl143600734</cp:lastModifiedBy>
  <cp:revision>3</cp:revision>
  <cp:lastPrinted>2011-03-17T17:59:00Z</cp:lastPrinted>
  <dcterms:created xsi:type="dcterms:W3CDTF">2011-10-24T23:36:00Z</dcterms:created>
  <dcterms:modified xsi:type="dcterms:W3CDTF">2011-10-26T00:42:00Z</dcterms:modified>
</cp:coreProperties>
</file>