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B45F9B" w14:textId="77777777" w:rsidR="0058086C" w:rsidRDefault="0058086C" w:rsidP="00C8558C">
      <w:pPr>
        <w:pStyle w:val="Prrafodelista"/>
        <w:numPr>
          <w:ilvl w:val="0"/>
          <w:numId w:val="1"/>
        </w:numPr>
        <w:ind w:left="0" w:firstLine="0"/>
      </w:pPr>
      <w:r>
        <w:t>Deduzca la cantidad económica del pedido</w:t>
      </w:r>
      <w:r w:rsidR="00163B5A">
        <w:t xml:space="preserve">  Q*</w:t>
      </w:r>
      <w:r>
        <w:t>. ¿</w:t>
      </w:r>
      <w:r w:rsidR="00163B5A">
        <w:t>En q</w:t>
      </w:r>
      <w:r w:rsidR="00B06617">
        <w:t xml:space="preserve">ué supuestos se basa este </w:t>
      </w:r>
      <w:r w:rsidR="00C8558C">
        <w:t xml:space="preserve">   </w:t>
      </w:r>
      <w:r w:rsidR="00B06617">
        <w:t>modelo</w:t>
      </w:r>
      <w:r>
        <w:t>?</w:t>
      </w:r>
    </w:p>
    <w:p w14:paraId="44C46CE3" w14:textId="77777777" w:rsidR="00B06617" w:rsidRPr="00C8558C" w:rsidRDefault="00B06617" w:rsidP="00B06617">
      <w:pPr>
        <w:rPr>
          <w:rFonts w:eastAsiaTheme="minorEastAsia"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TC=Costo de Compra al año+Costo por llevar el inventario</m:t>
          </m:r>
        </m:oMath>
      </m:oMathPara>
    </w:p>
    <w:p w14:paraId="3E92276B" w14:textId="77777777" w:rsidR="00B06617" w:rsidRPr="00C8558C" w:rsidRDefault="00B06617" w:rsidP="00B06617">
      <w:pPr>
        <w:rPr>
          <w:rFonts w:eastAsiaTheme="minorEastAsia"/>
          <w:color w:val="FF0000"/>
        </w:rPr>
      </w:pPr>
      <m:oMathPara>
        <m:oMath>
          <m:r>
            <w:rPr>
              <w:rFonts w:ascii="Cambria Math" w:eastAsiaTheme="minorEastAsia" w:hAnsi="Cambria Math"/>
              <w:color w:val="FF0000"/>
            </w:rPr>
            <m:t>TC=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</w:rPr>
                <m:t>SD</m:t>
              </m:r>
            </m:num>
            <m:den>
              <m:r>
                <w:rPr>
                  <w:rFonts w:ascii="Cambria Math" w:eastAsiaTheme="minorEastAsia" w:hAnsi="Cambria Math"/>
                  <w:color w:val="FF0000"/>
                </w:rPr>
                <m:t>Q</m:t>
              </m:r>
            </m:den>
          </m:f>
          <m:r>
            <w:rPr>
              <w:rFonts w:ascii="Cambria Math" w:eastAsiaTheme="minorEastAsia" w:hAnsi="Cambria Math"/>
              <w:color w:val="FF0000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</w:rPr>
                <m:t>iCQ</m:t>
              </m:r>
            </m:num>
            <m:den>
              <m:r>
                <w:rPr>
                  <w:rFonts w:ascii="Cambria Math" w:eastAsiaTheme="minorEastAsia" w:hAnsi="Cambria Math"/>
                  <w:color w:val="FF0000"/>
                </w:rPr>
                <m:t>2</m:t>
              </m:r>
            </m:den>
          </m:f>
        </m:oMath>
      </m:oMathPara>
    </w:p>
    <w:p w14:paraId="07FEFD61" w14:textId="77777777" w:rsidR="00B06617" w:rsidRPr="00C8558C" w:rsidRDefault="00B06617" w:rsidP="00B06617">
      <w:pPr>
        <w:rPr>
          <w:rFonts w:eastAsiaTheme="minorEastAsia"/>
          <w:color w:val="FF0000"/>
        </w:rPr>
      </w:pPr>
      <m:oMathPara>
        <m:oMath>
          <m:r>
            <w:rPr>
              <w:rFonts w:ascii="Cambria Math" w:eastAsiaTheme="minorEastAsia" w:hAnsi="Cambria Math"/>
              <w:color w:val="FF0000"/>
            </w:rPr>
            <m:t>TC´=-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</w:rPr>
                <m:t>SD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FF0000"/>
                    </w:rPr>
                    <m:t>Q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color w:val="FF0000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</w:rPr>
                <m:t>iC</m:t>
              </m:r>
            </m:num>
            <m:den>
              <m:r>
                <w:rPr>
                  <w:rFonts w:ascii="Cambria Math" w:eastAsiaTheme="minorEastAsia" w:hAnsi="Cambria Math"/>
                  <w:color w:val="FF0000"/>
                </w:rPr>
                <m:t>2</m:t>
              </m:r>
            </m:den>
          </m:f>
        </m:oMath>
      </m:oMathPara>
    </w:p>
    <w:p w14:paraId="5C4B2CFB" w14:textId="77777777" w:rsidR="00B06617" w:rsidRPr="00C8558C" w:rsidRDefault="00B06617" w:rsidP="00B06617">
      <w:pPr>
        <w:rPr>
          <w:rFonts w:eastAsiaTheme="minorEastAsia"/>
          <w:color w:val="FF0000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</w:rPr>
                <m:t>SD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</w:rPr>
                        <m:t>Q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FF0000"/>
                        </w:rPr>
                        <m:t>*</m:t>
                      </m:r>
                    </m:sup>
                  </m:sSup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color w:val="FF000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</w:rPr>
                <m:t>iC</m:t>
              </m:r>
            </m:num>
            <m:den>
              <m:r>
                <w:rPr>
                  <w:rFonts w:ascii="Cambria Math" w:eastAsiaTheme="minorEastAsia" w:hAnsi="Cambria Math"/>
                  <w:color w:val="FF0000"/>
                </w:rPr>
                <m:t>2</m:t>
              </m:r>
            </m:den>
          </m:f>
        </m:oMath>
      </m:oMathPara>
    </w:p>
    <w:p w14:paraId="4B09829B" w14:textId="77777777" w:rsidR="00B06617" w:rsidRPr="00C8558C" w:rsidRDefault="00B06617" w:rsidP="00B06617">
      <w:pPr>
        <w:rPr>
          <w:rFonts w:eastAsiaTheme="minorEastAsia"/>
          <w:color w:val="FF0000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FF0000"/>
                </w:rPr>
                <m:t>Q</m:t>
              </m:r>
            </m:e>
            <m:sup>
              <m:r>
                <w:rPr>
                  <w:rFonts w:ascii="Cambria Math" w:eastAsiaTheme="minorEastAsia" w:hAnsi="Cambria Math"/>
                  <w:color w:val="FF0000"/>
                </w:rPr>
                <m:t>*</m:t>
              </m:r>
            </m:sup>
          </m:sSup>
          <m:r>
            <w:rPr>
              <w:rFonts w:ascii="Cambria Math" w:eastAsiaTheme="minorEastAsia" w:hAnsi="Cambria Math"/>
              <w:color w:val="FF0000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FF0000"/>
                    </w:rPr>
                    <m:t>2SD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FF0000"/>
                    </w:rPr>
                    <m:t>iC</m:t>
                  </m:r>
                </m:den>
              </m:f>
            </m:e>
          </m:rad>
        </m:oMath>
      </m:oMathPara>
    </w:p>
    <w:p w14:paraId="46E463F4" w14:textId="77777777" w:rsidR="00B06617" w:rsidRPr="00C8558C" w:rsidRDefault="00B06617" w:rsidP="00C8558C">
      <w:pPr>
        <w:ind w:firstLine="360"/>
        <w:rPr>
          <w:rFonts w:eastAsiaTheme="minorEastAsia"/>
          <w:color w:val="FF0000"/>
        </w:rPr>
      </w:pPr>
      <w:r w:rsidRPr="00C8558C">
        <w:rPr>
          <w:rFonts w:eastAsiaTheme="minorEastAsia"/>
          <w:color w:val="FF0000"/>
        </w:rPr>
        <w:t>Los supuestos del modelo son:</w:t>
      </w:r>
    </w:p>
    <w:p w14:paraId="42DB53D8" w14:textId="77777777" w:rsidR="00B06617" w:rsidRPr="00C8558C" w:rsidRDefault="00C8558C" w:rsidP="00B06617">
      <w:pPr>
        <w:pStyle w:val="Prrafodelista"/>
        <w:numPr>
          <w:ilvl w:val="0"/>
          <w:numId w:val="2"/>
        </w:numPr>
        <w:rPr>
          <w:rFonts w:eastAsiaTheme="minorEastAsia"/>
          <w:color w:val="FF0000"/>
        </w:rPr>
      </w:pPr>
      <w:r w:rsidRPr="00C8558C">
        <w:rPr>
          <w:rFonts w:eastAsiaTheme="minorEastAsia"/>
          <w:color w:val="FF0000"/>
        </w:rPr>
        <w:t>Demanda constante</w:t>
      </w:r>
    </w:p>
    <w:p w14:paraId="732C54E4" w14:textId="77777777" w:rsidR="00C8558C" w:rsidRPr="00C8558C" w:rsidRDefault="00C8558C" w:rsidP="00C8558C">
      <w:pPr>
        <w:pStyle w:val="Prrafodelista"/>
        <w:numPr>
          <w:ilvl w:val="0"/>
          <w:numId w:val="2"/>
        </w:numPr>
        <w:rPr>
          <w:rFonts w:eastAsiaTheme="minorEastAsia"/>
          <w:color w:val="FF0000"/>
        </w:rPr>
      </w:pPr>
      <w:r w:rsidRPr="00C8558C">
        <w:rPr>
          <w:rFonts w:eastAsiaTheme="minorEastAsia"/>
          <w:color w:val="FF0000"/>
        </w:rPr>
        <w:t>Tiempo de entrega constante</w:t>
      </w:r>
    </w:p>
    <w:p w14:paraId="06C19D5A" w14:textId="77777777" w:rsidR="00C8558C" w:rsidRPr="00C8558C" w:rsidRDefault="00C8558C" w:rsidP="00C8558C">
      <w:pPr>
        <w:pStyle w:val="Prrafodelista"/>
        <w:numPr>
          <w:ilvl w:val="0"/>
          <w:numId w:val="2"/>
        </w:numPr>
        <w:rPr>
          <w:rFonts w:eastAsiaTheme="minorEastAsia"/>
          <w:color w:val="FF0000"/>
        </w:rPr>
      </w:pPr>
      <w:r w:rsidRPr="00C8558C">
        <w:rPr>
          <w:rFonts w:eastAsiaTheme="minorEastAsia"/>
          <w:color w:val="FF0000"/>
        </w:rPr>
        <w:t xml:space="preserve">Tiempo y costo de colocación fijo </w:t>
      </w:r>
    </w:p>
    <w:p w14:paraId="4CBE362C" w14:textId="77777777" w:rsidR="00C8558C" w:rsidRPr="00C8558C" w:rsidRDefault="00C8558C" w:rsidP="00C8558C">
      <w:pPr>
        <w:pStyle w:val="Prrafodelista"/>
        <w:numPr>
          <w:ilvl w:val="0"/>
          <w:numId w:val="2"/>
        </w:numPr>
        <w:rPr>
          <w:rFonts w:eastAsiaTheme="minorEastAsia"/>
          <w:color w:val="FF0000"/>
        </w:rPr>
      </w:pPr>
      <w:r w:rsidRPr="00C8558C">
        <w:rPr>
          <w:rFonts w:eastAsiaTheme="minorEastAsia"/>
          <w:color w:val="FF0000"/>
        </w:rPr>
        <w:t>Compre de lotes de un solo producto sin descuentos por compras grandes</w:t>
      </w:r>
    </w:p>
    <w:p w14:paraId="383123D4" w14:textId="77777777" w:rsidR="00C8558C" w:rsidRPr="00C8558C" w:rsidRDefault="00C8558C" w:rsidP="00C8558C">
      <w:pPr>
        <w:ind w:left="360"/>
        <w:rPr>
          <w:rFonts w:eastAsiaTheme="minorEastAsia"/>
        </w:rPr>
      </w:pPr>
    </w:p>
    <w:p w14:paraId="503860CB" w14:textId="77777777" w:rsidR="0058086C" w:rsidRDefault="00A83A03" w:rsidP="00C8558C">
      <w:pPr>
        <w:pStyle w:val="Prrafodelista"/>
        <w:numPr>
          <w:ilvl w:val="0"/>
          <w:numId w:val="1"/>
        </w:numPr>
        <w:ind w:left="0" w:firstLine="0"/>
      </w:pPr>
      <w:r>
        <w:t>¿En qué se diferencian los modelos de supervisión continua y periódica? Mencione una ventaja y desventaja de ambos.</w:t>
      </w:r>
    </w:p>
    <w:p w14:paraId="1DE6315A" w14:textId="77777777" w:rsidR="00C8558C" w:rsidRDefault="00C8558C" w:rsidP="00C8558C">
      <w:pPr>
        <w:spacing w:line="360" w:lineRule="auto"/>
        <w:jc w:val="both"/>
        <w:rPr>
          <w:rFonts w:eastAsiaTheme="minorEastAsia"/>
          <w:color w:val="FF0000"/>
        </w:rPr>
      </w:pPr>
      <w:r w:rsidRPr="004A684D">
        <w:rPr>
          <w:rFonts w:eastAsiaTheme="minorEastAsia"/>
          <w:color w:val="FF0000"/>
        </w:rPr>
        <w:t xml:space="preserve">En un sistema de supervisión continua </w:t>
      </w:r>
      <w:r w:rsidR="004A684D" w:rsidRPr="004A684D">
        <w:rPr>
          <w:rFonts w:eastAsiaTheme="minorEastAsia"/>
          <w:color w:val="FF0000"/>
        </w:rPr>
        <w:t xml:space="preserve">constantemente se revisa el nivel del inventario, </w:t>
      </w:r>
      <w:r w:rsidRPr="004A684D">
        <w:rPr>
          <w:rFonts w:eastAsiaTheme="minorEastAsia"/>
          <w:color w:val="FF0000"/>
        </w:rPr>
        <w:t>cuando se llega a</w:t>
      </w:r>
      <w:r w:rsidR="004A684D" w:rsidRPr="004A684D">
        <w:rPr>
          <w:rFonts w:eastAsiaTheme="minorEastAsia"/>
          <w:color w:val="FF0000"/>
        </w:rPr>
        <w:t xml:space="preserve">l punto de </w:t>
      </w:r>
      <w:proofErr w:type="spellStart"/>
      <w:r w:rsidR="004A684D" w:rsidRPr="004A684D">
        <w:rPr>
          <w:rFonts w:eastAsiaTheme="minorEastAsia"/>
          <w:color w:val="FF0000"/>
        </w:rPr>
        <w:t>reorden</w:t>
      </w:r>
      <w:proofErr w:type="spellEnd"/>
      <w:r w:rsidR="004A684D" w:rsidRPr="004A684D">
        <w:rPr>
          <w:rFonts w:eastAsiaTheme="minorEastAsia"/>
          <w:color w:val="FF0000"/>
        </w:rPr>
        <w:t xml:space="preserve">, se ordena una cantidad </w:t>
      </w:r>
      <w:r w:rsidRPr="004A684D">
        <w:rPr>
          <w:rFonts w:eastAsiaTheme="minorEastAsia"/>
          <w:color w:val="FF0000"/>
        </w:rPr>
        <w:t>fija Q</w:t>
      </w:r>
      <w:r w:rsidR="004A684D" w:rsidRPr="004A684D">
        <w:rPr>
          <w:rFonts w:eastAsiaTheme="minorEastAsia"/>
          <w:color w:val="FF0000"/>
        </w:rPr>
        <w:t>.</w:t>
      </w:r>
      <w:r w:rsidRPr="004A684D">
        <w:rPr>
          <w:rFonts w:eastAsiaTheme="minorEastAsia"/>
          <w:color w:val="FF0000"/>
        </w:rPr>
        <w:t xml:space="preserve"> </w:t>
      </w:r>
      <w:r w:rsidR="004A684D" w:rsidRPr="004A684D">
        <w:rPr>
          <w:rFonts w:eastAsiaTheme="minorEastAsia"/>
          <w:color w:val="FF0000"/>
        </w:rPr>
        <w:t xml:space="preserve">En el modelo de supervisión periódica </w:t>
      </w:r>
      <w:r w:rsidRPr="004A684D">
        <w:rPr>
          <w:rFonts w:eastAsiaTheme="minorEastAsia"/>
          <w:color w:val="FF0000"/>
        </w:rPr>
        <w:t>se revisa</w:t>
      </w:r>
      <w:r w:rsidR="004A684D" w:rsidRPr="004A684D">
        <w:rPr>
          <w:rFonts w:eastAsiaTheme="minorEastAsia"/>
          <w:color w:val="FF0000"/>
        </w:rPr>
        <w:t xml:space="preserve"> el nivel de inventario cada cierto in</w:t>
      </w:r>
      <w:r w:rsidRPr="004A684D">
        <w:rPr>
          <w:rFonts w:eastAsiaTheme="minorEastAsia"/>
          <w:color w:val="FF0000"/>
        </w:rPr>
        <w:t>tervalo</w:t>
      </w:r>
      <w:r w:rsidR="004A684D" w:rsidRPr="004A684D">
        <w:rPr>
          <w:rFonts w:eastAsiaTheme="minorEastAsia"/>
          <w:color w:val="FF0000"/>
        </w:rPr>
        <w:t xml:space="preserve"> fijo</w:t>
      </w:r>
      <w:r w:rsidRPr="00C8558C">
        <w:rPr>
          <w:rFonts w:ascii="Times New Roman" w:hAnsi="Times New Roman"/>
          <w:color w:val="000080"/>
        </w:rPr>
        <w:t xml:space="preserve"> </w:t>
      </w:r>
      <w:r w:rsidR="004A684D" w:rsidRPr="004A684D">
        <w:rPr>
          <w:rFonts w:eastAsiaTheme="minorEastAsia"/>
          <w:color w:val="FF0000"/>
        </w:rPr>
        <w:t>P</w:t>
      </w:r>
      <w:r w:rsidRPr="004A684D">
        <w:rPr>
          <w:rFonts w:eastAsiaTheme="minorEastAsia"/>
          <w:color w:val="FF0000"/>
        </w:rPr>
        <w:t xml:space="preserve"> de tiempo, y cada vez se </w:t>
      </w:r>
      <w:r w:rsidR="004A684D" w:rsidRPr="004A684D">
        <w:rPr>
          <w:rFonts w:eastAsiaTheme="minorEastAsia"/>
          <w:color w:val="FF0000"/>
        </w:rPr>
        <w:t>ordena</w:t>
      </w:r>
      <w:r w:rsidRPr="004A684D">
        <w:rPr>
          <w:rFonts w:eastAsiaTheme="minorEastAsia"/>
          <w:color w:val="FF0000"/>
        </w:rPr>
        <w:t xml:space="preserve"> </w:t>
      </w:r>
      <w:r w:rsidR="004A684D" w:rsidRPr="004A684D">
        <w:rPr>
          <w:rFonts w:eastAsiaTheme="minorEastAsia"/>
          <w:color w:val="FF0000"/>
        </w:rPr>
        <w:t xml:space="preserve">la cantidad necesaria para llegar al inventario T objetivo. </w:t>
      </w:r>
      <w:r w:rsidRPr="004A684D">
        <w:rPr>
          <w:rFonts w:eastAsiaTheme="minorEastAsia"/>
          <w:color w:val="FF0000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0E64BE" w14:paraId="04D4EF24" w14:textId="77777777" w:rsidTr="000E64BE">
        <w:tc>
          <w:tcPr>
            <w:tcW w:w="2881" w:type="dxa"/>
          </w:tcPr>
          <w:p w14:paraId="3AF5E002" w14:textId="77777777" w:rsidR="000E64BE" w:rsidRDefault="000E64BE" w:rsidP="00C8558C">
            <w:pPr>
              <w:spacing w:line="360" w:lineRule="auto"/>
              <w:jc w:val="both"/>
              <w:rPr>
                <w:rFonts w:eastAsiaTheme="minorEastAsia"/>
                <w:color w:val="FF0000"/>
              </w:rPr>
            </w:pPr>
          </w:p>
        </w:tc>
        <w:tc>
          <w:tcPr>
            <w:tcW w:w="2881" w:type="dxa"/>
          </w:tcPr>
          <w:p w14:paraId="059F7C01" w14:textId="20FF67C9" w:rsidR="000E64BE" w:rsidRDefault="000E64BE" w:rsidP="00C8558C">
            <w:pPr>
              <w:spacing w:line="360" w:lineRule="auto"/>
              <w:jc w:val="both"/>
              <w:rPr>
                <w:rFonts w:eastAsiaTheme="minorEastAsia"/>
                <w:color w:val="FF0000"/>
              </w:rPr>
            </w:pPr>
            <w:r>
              <w:rPr>
                <w:rFonts w:eastAsiaTheme="minorEastAsia"/>
                <w:color w:val="FF0000"/>
              </w:rPr>
              <w:t>Ventaja</w:t>
            </w:r>
          </w:p>
        </w:tc>
        <w:tc>
          <w:tcPr>
            <w:tcW w:w="2882" w:type="dxa"/>
          </w:tcPr>
          <w:p w14:paraId="5264EC95" w14:textId="013D49B6" w:rsidR="000E64BE" w:rsidRDefault="000E64BE" w:rsidP="00C8558C">
            <w:pPr>
              <w:spacing w:line="360" w:lineRule="auto"/>
              <w:jc w:val="both"/>
              <w:rPr>
                <w:rFonts w:eastAsiaTheme="minorEastAsia"/>
                <w:color w:val="FF0000"/>
              </w:rPr>
            </w:pPr>
            <w:r>
              <w:rPr>
                <w:rFonts w:eastAsiaTheme="minorEastAsia"/>
                <w:color w:val="FF0000"/>
              </w:rPr>
              <w:t>Desventaja</w:t>
            </w:r>
          </w:p>
        </w:tc>
      </w:tr>
      <w:tr w:rsidR="000E64BE" w14:paraId="00A426B5" w14:textId="77777777" w:rsidTr="000E64BE">
        <w:tc>
          <w:tcPr>
            <w:tcW w:w="2881" w:type="dxa"/>
          </w:tcPr>
          <w:p w14:paraId="77E6F7D7" w14:textId="229EB335" w:rsidR="000E64BE" w:rsidRDefault="000E64BE" w:rsidP="00C8558C">
            <w:pPr>
              <w:spacing w:line="360" w:lineRule="auto"/>
              <w:jc w:val="both"/>
              <w:rPr>
                <w:rFonts w:eastAsiaTheme="minorEastAsia"/>
                <w:color w:val="FF0000"/>
              </w:rPr>
            </w:pPr>
            <w:r>
              <w:rPr>
                <w:rFonts w:eastAsiaTheme="minorEastAsia"/>
                <w:color w:val="FF0000"/>
              </w:rPr>
              <w:t>Sistema de revisión Continuo</w:t>
            </w:r>
          </w:p>
        </w:tc>
        <w:tc>
          <w:tcPr>
            <w:tcW w:w="2881" w:type="dxa"/>
          </w:tcPr>
          <w:p w14:paraId="72BEE30C" w14:textId="18E704C5" w:rsidR="000E64BE" w:rsidRDefault="000E64BE" w:rsidP="00C8558C">
            <w:pPr>
              <w:spacing w:line="360" w:lineRule="auto"/>
              <w:jc w:val="both"/>
              <w:rPr>
                <w:rFonts w:eastAsiaTheme="minorEastAsia"/>
                <w:color w:val="FF0000"/>
              </w:rPr>
            </w:pPr>
            <w:r>
              <w:rPr>
                <w:rFonts w:eastAsiaTheme="minorEastAsia"/>
                <w:color w:val="FF0000"/>
              </w:rPr>
              <w:t>Nivel de inventario más bajo</w:t>
            </w:r>
          </w:p>
        </w:tc>
        <w:tc>
          <w:tcPr>
            <w:tcW w:w="2882" w:type="dxa"/>
          </w:tcPr>
          <w:p w14:paraId="20192B70" w14:textId="3BACE477" w:rsidR="000E64BE" w:rsidRDefault="000E64BE" w:rsidP="00C8558C">
            <w:pPr>
              <w:spacing w:line="360" w:lineRule="auto"/>
              <w:jc w:val="both"/>
              <w:rPr>
                <w:rFonts w:eastAsiaTheme="minorEastAsia"/>
                <w:color w:val="FF0000"/>
              </w:rPr>
            </w:pPr>
            <w:r>
              <w:rPr>
                <w:rFonts w:eastAsiaTheme="minorEastAsia"/>
                <w:color w:val="FF0000"/>
              </w:rPr>
              <w:t>Costoso de implementar</w:t>
            </w:r>
          </w:p>
        </w:tc>
      </w:tr>
      <w:tr w:rsidR="000E64BE" w14:paraId="15F72D00" w14:textId="77777777" w:rsidTr="000E64BE">
        <w:tc>
          <w:tcPr>
            <w:tcW w:w="2881" w:type="dxa"/>
          </w:tcPr>
          <w:p w14:paraId="346D9804" w14:textId="560BE28F" w:rsidR="000E64BE" w:rsidRDefault="000E64BE" w:rsidP="00C8558C">
            <w:pPr>
              <w:spacing w:line="360" w:lineRule="auto"/>
              <w:jc w:val="both"/>
              <w:rPr>
                <w:rFonts w:eastAsiaTheme="minorEastAsia"/>
                <w:color w:val="FF0000"/>
              </w:rPr>
            </w:pPr>
            <w:r>
              <w:rPr>
                <w:rFonts w:eastAsiaTheme="minorEastAsia"/>
                <w:color w:val="FF0000"/>
              </w:rPr>
              <w:t>Sistema de revisión Periódico</w:t>
            </w:r>
          </w:p>
        </w:tc>
        <w:tc>
          <w:tcPr>
            <w:tcW w:w="2881" w:type="dxa"/>
          </w:tcPr>
          <w:p w14:paraId="6B6D9603" w14:textId="7C81C50E" w:rsidR="000E64BE" w:rsidRDefault="00021D8C">
            <w:r w:rsidRPr="00021D8C">
              <w:rPr>
                <w:color w:val="FF0000"/>
              </w:rPr>
              <w:t>Menos Costoso, pues solo se revisa en intervalos P.</w:t>
            </w:r>
          </w:p>
        </w:tc>
        <w:tc>
          <w:tcPr>
            <w:tcW w:w="2882" w:type="dxa"/>
          </w:tcPr>
          <w:p w14:paraId="6620DE25" w14:textId="2548326B" w:rsidR="000E64BE" w:rsidRDefault="000E64BE">
            <w:r w:rsidRPr="00F37CCC">
              <w:rPr>
                <w:rFonts w:eastAsiaTheme="minorEastAsia"/>
                <w:color w:val="FF0000"/>
              </w:rPr>
              <w:t xml:space="preserve">Nivel de </w:t>
            </w:r>
            <w:r w:rsidR="008074E8" w:rsidRPr="00F37CCC">
              <w:rPr>
                <w:rFonts w:eastAsiaTheme="minorEastAsia"/>
                <w:color w:val="FF0000"/>
              </w:rPr>
              <w:t>inventario</w:t>
            </w:r>
            <w:r w:rsidRPr="00F37CCC">
              <w:rPr>
                <w:rFonts w:eastAsiaTheme="minorEastAsia"/>
                <w:color w:val="FF0000"/>
              </w:rPr>
              <w:t xml:space="preserve"> más alto</w:t>
            </w:r>
          </w:p>
        </w:tc>
      </w:tr>
    </w:tbl>
    <w:p w14:paraId="551F5C57" w14:textId="77777777" w:rsidR="000E64BE" w:rsidRDefault="000E64BE" w:rsidP="00C8558C">
      <w:pPr>
        <w:spacing w:line="360" w:lineRule="auto"/>
        <w:jc w:val="both"/>
        <w:rPr>
          <w:rFonts w:eastAsiaTheme="minorEastAsia"/>
          <w:color w:val="FF0000"/>
        </w:rPr>
      </w:pPr>
    </w:p>
    <w:p w14:paraId="230008DD" w14:textId="77777777" w:rsidR="004A684D" w:rsidRPr="004A684D" w:rsidRDefault="004A684D" w:rsidP="004A684D">
      <w:pPr>
        <w:pStyle w:val="Prrafodelista"/>
        <w:numPr>
          <w:ilvl w:val="0"/>
          <w:numId w:val="1"/>
        </w:numPr>
        <w:ind w:left="0" w:firstLine="0"/>
      </w:pPr>
      <w:r w:rsidRPr="004A684D">
        <w:t xml:space="preserve">Comente: Si la demanda aumenta al doble, entonces lo correcto es aumentar el inventario al doble, para así mantener el nivel de rotación. </w:t>
      </w:r>
    </w:p>
    <w:p w14:paraId="1971A353" w14:textId="5DC2F255" w:rsidR="00021D8C" w:rsidRDefault="003B1E2C" w:rsidP="008074E8">
      <w:pPr>
        <w:spacing w:line="360" w:lineRule="auto"/>
        <w:jc w:val="both"/>
      </w:pPr>
      <w:r w:rsidRPr="003B1E2C">
        <w:rPr>
          <w:rFonts w:eastAsiaTheme="minorEastAsia"/>
          <w:color w:val="FF0000"/>
        </w:rPr>
        <w:t xml:space="preserve">La afirmación es incorrecta, </w:t>
      </w:r>
      <w:r w:rsidR="004A684D" w:rsidRPr="003B1E2C">
        <w:rPr>
          <w:rFonts w:eastAsiaTheme="minorEastAsia"/>
          <w:color w:val="FF0000"/>
        </w:rPr>
        <w:t xml:space="preserve">el modelo EOQ sugiere que si el la demanda aumenta al doble, entonces el inventario debiera aumentar en </w:t>
      </w:r>
      <m:oMath>
        <m:rad>
          <m:radPr>
            <m:degHide m:val="1"/>
            <m:ctrlPr>
              <w:rPr>
                <w:rFonts w:ascii="Cambria Math" w:eastAsiaTheme="minorEastAsia" w:hAnsi="Cambria Math"/>
                <w:color w:val="FF000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color w:val="FF0000"/>
              </w:rPr>
              <m:t>2</m:t>
            </m:r>
          </m:e>
        </m:rad>
      </m:oMath>
      <w:r w:rsidRPr="003B1E2C">
        <w:rPr>
          <w:rFonts w:eastAsiaTheme="minorEastAsia"/>
          <w:color w:val="FF0000"/>
        </w:rPr>
        <w:t xml:space="preserve">, lo que justifica una rotación más elevada. </w:t>
      </w:r>
      <w:bookmarkStart w:id="0" w:name="_GoBack"/>
      <w:bookmarkEnd w:id="0"/>
    </w:p>
    <w:p w14:paraId="17B1F130" w14:textId="77777777" w:rsidR="0058086C" w:rsidRDefault="0058086C"/>
    <w:sectPr w:rsidR="0058086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909B8"/>
    <w:multiLevelType w:val="hybridMultilevel"/>
    <w:tmpl w:val="A40CEF78"/>
    <w:lvl w:ilvl="0" w:tplc="0C0A000F">
      <w:start w:val="1"/>
      <w:numFmt w:val="decimal"/>
      <w:lvlText w:val="%1."/>
      <w:lvlJc w:val="left"/>
      <w:pPr>
        <w:ind w:left="355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4272" w:hanging="360"/>
      </w:pPr>
    </w:lvl>
    <w:lvl w:ilvl="2" w:tplc="0C0A001B" w:tentative="1">
      <w:start w:val="1"/>
      <w:numFmt w:val="lowerRoman"/>
      <w:lvlText w:val="%3."/>
      <w:lvlJc w:val="right"/>
      <w:pPr>
        <w:ind w:left="4992" w:hanging="180"/>
      </w:pPr>
    </w:lvl>
    <w:lvl w:ilvl="3" w:tplc="0C0A000F" w:tentative="1">
      <w:start w:val="1"/>
      <w:numFmt w:val="decimal"/>
      <w:lvlText w:val="%4."/>
      <w:lvlJc w:val="left"/>
      <w:pPr>
        <w:ind w:left="5712" w:hanging="360"/>
      </w:pPr>
    </w:lvl>
    <w:lvl w:ilvl="4" w:tplc="0C0A0019" w:tentative="1">
      <w:start w:val="1"/>
      <w:numFmt w:val="lowerLetter"/>
      <w:lvlText w:val="%5."/>
      <w:lvlJc w:val="left"/>
      <w:pPr>
        <w:ind w:left="6432" w:hanging="360"/>
      </w:pPr>
    </w:lvl>
    <w:lvl w:ilvl="5" w:tplc="0C0A001B" w:tentative="1">
      <w:start w:val="1"/>
      <w:numFmt w:val="lowerRoman"/>
      <w:lvlText w:val="%6."/>
      <w:lvlJc w:val="right"/>
      <w:pPr>
        <w:ind w:left="7152" w:hanging="180"/>
      </w:pPr>
    </w:lvl>
    <w:lvl w:ilvl="6" w:tplc="0C0A000F" w:tentative="1">
      <w:start w:val="1"/>
      <w:numFmt w:val="decimal"/>
      <w:lvlText w:val="%7."/>
      <w:lvlJc w:val="left"/>
      <w:pPr>
        <w:ind w:left="7872" w:hanging="360"/>
      </w:pPr>
    </w:lvl>
    <w:lvl w:ilvl="7" w:tplc="0C0A0019" w:tentative="1">
      <w:start w:val="1"/>
      <w:numFmt w:val="lowerLetter"/>
      <w:lvlText w:val="%8."/>
      <w:lvlJc w:val="left"/>
      <w:pPr>
        <w:ind w:left="8592" w:hanging="360"/>
      </w:pPr>
    </w:lvl>
    <w:lvl w:ilvl="8" w:tplc="0C0A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1">
    <w:nsid w:val="31DE4347"/>
    <w:multiLevelType w:val="hybridMultilevel"/>
    <w:tmpl w:val="4566AD9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86C"/>
    <w:rsid w:val="00021D8C"/>
    <w:rsid w:val="000E64BE"/>
    <w:rsid w:val="00163B5A"/>
    <w:rsid w:val="002D6CC5"/>
    <w:rsid w:val="003B1E2C"/>
    <w:rsid w:val="004A684D"/>
    <w:rsid w:val="0058086C"/>
    <w:rsid w:val="006E606A"/>
    <w:rsid w:val="007F2E8D"/>
    <w:rsid w:val="008074E8"/>
    <w:rsid w:val="00A83A03"/>
    <w:rsid w:val="00B06617"/>
    <w:rsid w:val="00C8558C"/>
    <w:rsid w:val="00DB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799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0661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06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6617"/>
    <w:rPr>
      <w:rFonts w:ascii="Tahoma" w:hAnsi="Tahoma" w:cs="Tahoma"/>
      <w:sz w:val="16"/>
      <w:szCs w:val="16"/>
      <w:lang w:val="es-CL"/>
    </w:rPr>
  </w:style>
  <w:style w:type="character" w:styleId="Textodelmarcadordeposicin">
    <w:name w:val="Placeholder Text"/>
    <w:basedOn w:val="Fuentedeprrafopredeter"/>
    <w:uiPriority w:val="99"/>
    <w:semiHidden/>
    <w:rsid w:val="00B06617"/>
    <w:rPr>
      <w:color w:val="808080"/>
    </w:rPr>
  </w:style>
  <w:style w:type="table" w:styleId="Tablaconcuadrcula">
    <w:name w:val="Table Grid"/>
    <w:basedOn w:val="Tablanormal"/>
    <w:uiPriority w:val="59"/>
    <w:rsid w:val="000E64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0661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06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6617"/>
    <w:rPr>
      <w:rFonts w:ascii="Tahoma" w:hAnsi="Tahoma" w:cs="Tahoma"/>
      <w:sz w:val="16"/>
      <w:szCs w:val="16"/>
      <w:lang w:val="es-CL"/>
    </w:rPr>
  </w:style>
  <w:style w:type="character" w:styleId="Textodelmarcadordeposicin">
    <w:name w:val="Placeholder Text"/>
    <w:basedOn w:val="Fuentedeprrafopredeter"/>
    <w:uiPriority w:val="99"/>
    <w:semiHidden/>
    <w:rsid w:val="00B06617"/>
    <w:rPr>
      <w:color w:val="808080"/>
    </w:rPr>
  </w:style>
  <w:style w:type="table" w:styleId="Tablaconcuadrcula">
    <w:name w:val="Table Grid"/>
    <w:basedOn w:val="Tablanormal"/>
    <w:uiPriority w:val="59"/>
    <w:rsid w:val="000E64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</dc:creator>
  <cp:lastModifiedBy>Valeria</cp:lastModifiedBy>
  <cp:revision>3</cp:revision>
  <dcterms:created xsi:type="dcterms:W3CDTF">2010-10-26T20:59:00Z</dcterms:created>
  <dcterms:modified xsi:type="dcterms:W3CDTF">2010-10-27T03:06:00Z</dcterms:modified>
</cp:coreProperties>
</file>