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8954" w:type="dxa"/>
        <w:jc w:val="center"/>
        <w:tblLook w:val="04A0"/>
      </w:tblPr>
      <w:tblGrid>
        <w:gridCol w:w="2276"/>
        <w:gridCol w:w="1451"/>
        <w:gridCol w:w="5227"/>
      </w:tblGrid>
      <w:tr w:rsidR="00FD5129" w:rsidTr="00FB2133">
        <w:trPr>
          <w:jc w:val="center"/>
        </w:trPr>
        <w:tc>
          <w:tcPr>
            <w:tcW w:w="2172" w:type="dxa"/>
          </w:tcPr>
          <w:p w:rsidR="00FD5129" w:rsidRPr="003D5B01" w:rsidRDefault="003D5B01" w:rsidP="007229BE">
            <w:pPr>
              <w:rPr>
                <w:b/>
                <w:sz w:val="36"/>
              </w:rPr>
            </w:pPr>
            <w:r w:rsidRPr="003D5B01">
              <w:rPr>
                <w:b/>
                <w:sz w:val="36"/>
              </w:rPr>
              <w:t>Pauta de evaluación</w:t>
            </w:r>
          </w:p>
        </w:tc>
        <w:tc>
          <w:tcPr>
            <w:tcW w:w="1457" w:type="dxa"/>
          </w:tcPr>
          <w:p w:rsidR="00FD5129" w:rsidRPr="003D5B01" w:rsidRDefault="003D5B01" w:rsidP="007229BE">
            <w:pPr>
              <w:rPr>
                <w:b/>
                <w:sz w:val="36"/>
              </w:rPr>
            </w:pPr>
            <w:r w:rsidRPr="003D5B01">
              <w:rPr>
                <w:b/>
                <w:sz w:val="36"/>
              </w:rPr>
              <w:t>Puntos</w:t>
            </w:r>
          </w:p>
        </w:tc>
        <w:tc>
          <w:tcPr>
            <w:tcW w:w="5325" w:type="dxa"/>
          </w:tcPr>
          <w:p w:rsidR="00FD5129" w:rsidRPr="003D5B01" w:rsidRDefault="003D5B01" w:rsidP="007229BE">
            <w:pPr>
              <w:rPr>
                <w:b/>
                <w:sz w:val="36"/>
              </w:rPr>
            </w:pPr>
            <w:r w:rsidRPr="003D5B01">
              <w:rPr>
                <w:b/>
                <w:sz w:val="36"/>
              </w:rPr>
              <w:t>Comentarios</w:t>
            </w:r>
          </w:p>
        </w:tc>
      </w:tr>
      <w:tr w:rsidR="00FD5129" w:rsidTr="00FB2133">
        <w:trPr>
          <w:jc w:val="center"/>
        </w:trPr>
        <w:tc>
          <w:tcPr>
            <w:tcW w:w="2172" w:type="dxa"/>
          </w:tcPr>
          <w:p w:rsidR="00FD5129" w:rsidRPr="003D5B01" w:rsidRDefault="003D5B01" w:rsidP="007229BE">
            <w:pPr>
              <w:rPr>
                <w:sz w:val="36"/>
              </w:rPr>
            </w:pPr>
            <w:r w:rsidRPr="003D5B01">
              <w:rPr>
                <w:sz w:val="36"/>
              </w:rPr>
              <w:t>Descripción del tipo de biomasa</w:t>
            </w:r>
          </w:p>
        </w:tc>
        <w:tc>
          <w:tcPr>
            <w:tcW w:w="1457" w:type="dxa"/>
          </w:tcPr>
          <w:p w:rsidR="00FD5129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1,5</w:t>
            </w:r>
            <w:r w:rsidR="003D5B01" w:rsidRPr="003D5B01">
              <w:rPr>
                <w:sz w:val="36"/>
              </w:rPr>
              <w:t>/2,0</w:t>
            </w:r>
          </w:p>
        </w:tc>
        <w:tc>
          <w:tcPr>
            <w:tcW w:w="5325" w:type="dxa"/>
          </w:tcPr>
          <w:p w:rsidR="00FD5129" w:rsidRPr="00A85B1F" w:rsidRDefault="00066E57" w:rsidP="00CC04EC">
            <w:pPr>
              <w:rPr>
                <w:sz w:val="18"/>
                <w:szCs w:val="18"/>
              </w:rPr>
            </w:pPr>
            <w:r w:rsidRPr="00066E57">
              <w:rPr>
                <w:sz w:val="18"/>
                <w:szCs w:val="18"/>
              </w:rPr>
              <w:t>El balance de CO</w:t>
            </w:r>
            <w:r w:rsidRPr="00066E57">
              <w:rPr>
                <w:sz w:val="18"/>
                <w:szCs w:val="18"/>
                <w:vertAlign w:val="subscript"/>
              </w:rPr>
              <w:t>2</w:t>
            </w:r>
            <w:r w:rsidR="00F21C8A">
              <w:rPr>
                <w:sz w:val="18"/>
                <w:szCs w:val="18"/>
              </w:rPr>
              <w:t xml:space="preserve"> no es</w:t>
            </w:r>
            <w:r w:rsidRPr="00066E57">
              <w:rPr>
                <w:sz w:val="18"/>
                <w:szCs w:val="18"/>
              </w:rPr>
              <w:t xml:space="preserve"> nulo</w:t>
            </w:r>
            <w:r>
              <w:rPr>
                <w:sz w:val="18"/>
                <w:szCs w:val="18"/>
              </w:rPr>
              <w:t>, compañeros</w:t>
            </w:r>
            <w:r w:rsidRPr="00066E5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Si quieren hablar de eso, busquen un  LCA -0.1 /</w:t>
            </w:r>
            <w:r w:rsidRPr="00066E57">
              <w:rPr>
                <w:sz w:val="18"/>
                <w:szCs w:val="18"/>
              </w:rPr>
              <w:t xml:space="preserve">/ La descripción de las macroalgas es algo rústica. Lo único que dijeron es que </w:t>
            </w:r>
            <w:r>
              <w:rPr>
                <w:sz w:val="18"/>
                <w:szCs w:val="18"/>
              </w:rPr>
              <w:t>tienen muchos polisacáridos -0.3</w:t>
            </w:r>
            <w:r w:rsidRPr="00066E57">
              <w:rPr>
                <w:sz w:val="18"/>
                <w:szCs w:val="18"/>
              </w:rPr>
              <w:t xml:space="preserve"> // Las macroalgas si necesitan agua fre</w:t>
            </w:r>
            <w:r w:rsidR="00AB3E97">
              <w:rPr>
                <w:sz w:val="18"/>
                <w:szCs w:val="18"/>
              </w:rPr>
              <w:t>s</w:t>
            </w:r>
            <w:r w:rsidRPr="00066E57">
              <w:rPr>
                <w:sz w:val="18"/>
                <w:szCs w:val="18"/>
              </w:rPr>
              <w:t>ca...lo que</w:t>
            </w:r>
            <w:r>
              <w:rPr>
                <w:sz w:val="18"/>
                <w:szCs w:val="18"/>
              </w:rPr>
              <w:t xml:space="preserve"> no necesitan es agua dulce </w:t>
            </w:r>
            <w:r w:rsidR="00CC04EC">
              <w:rPr>
                <w:sz w:val="18"/>
                <w:szCs w:val="18"/>
              </w:rPr>
              <w:t xml:space="preserve">(cuando son macroalgas de mar) </w:t>
            </w:r>
            <w:r>
              <w:rPr>
                <w:sz w:val="18"/>
                <w:szCs w:val="18"/>
              </w:rPr>
              <w:t>-0.1</w:t>
            </w:r>
            <w:r w:rsidRPr="00066E57">
              <w:rPr>
                <w:sz w:val="18"/>
                <w:szCs w:val="18"/>
              </w:rPr>
              <w:t xml:space="preserve"> // Microalgas, bien</w:t>
            </w:r>
            <w:r w:rsidR="00CC04EC">
              <w:rPr>
                <w:sz w:val="18"/>
                <w:szCs w:val="18"/>
              </w:rPr>
              <w:t>.</w:t>
            </w:r>
          </w:p>
        </w:tc>
      </w:tr>
      <w:tr w:rsidR="00FD5129" w:rsidTr="00FB2133">
        <w:trPr>
          <w:jc w:val="center"/>
        </w:trPr>
        <w:tc>
          <w:tcPr>
            <w:tcW w:w="2172" w:type="dxa"/>
          </w:tcPr>
          <w:p w:rsidR="00FD5129" w:rsidRPr="003D5B01" w:rsidRDefault="003D5B01" w:rsidP="007229BE">
            <w:pPr>
              <w:rPr>
                <w:sz w:val="36"/>
              </w:rPr>
            </w:pPr>
            <w:r w:rsidRPr="003D5B01">
              <w:rPr>
                <w:sz w:val="36"/>
              </w:rPr>
              <w:t>Estimación de la disponibilidad de biomasa</w:t>
            </w:r>
          </w:p>
        </w:tc>
        <w:tc>
          <w:tcPr>
            <w:tcW w:w="1457" w:type="dxa"/>
          </w:tcPr>
          <w:p w:rsidR="00FD5129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2,2</w:t>
            </w:r>
            <w:r w:rsidR="003D5B01" w:rsidRPr="003D5B01">
              <w:rPr>
                <w:sz w:val="36"/>
              </w:rPr>
              <w:t>/3,0</w:t>
            </w:r>
          </w:p>
        </w:tc>
        <w:tc>
          <w:tcPr>
            <w:tcW w:w="5325" w:type="dxa"/>
          </w:tcPr>
          <w:p w:rsidR="002729E7" w:rsidRPr="00A85B1F" w:rsidRDefault="00066E57" w:rsidP="00A85B1F">
            <w:pPr>
              <w:rPr>
                <w:sz w:val="18"/>
                <w:szCs w:val="18"/>
              </w:rPr>
            </w:pPr>
            <w:r w:rsidRPr="00066E57">
              <w:rPr>
                <w:sz w:val="18"/>
                <w:szCs w:val="18"/>
              </w:rPr>
              <w:t>Sobre las macroalgas, tenemos cuanto hubo en el 2008 y cuanto se produjo. Pero, ¿cuánto crecen al año? Para una cosecha sustentable, es un dato importante. Dicen que crece</w:t>
            </w:r>
            <w:r>
              <w:rPr>
                <w:sz w:val="18"/>
                <w:szCs w:val="18"/>
              </w:rPr>
              <w:t xml:space="preserve"> rápido. ¿Cuánto es rápido? -0.3</w:t>
            </w:r>
            <w:r w:rsidRPr="00066E57">
              <w:rPr>
                <w:sz w:val="18"/>
                <w:szCs w:val="18"/>
              </w:rPr>
              <w:t xml:space="preserve"> // Sobre </w:t>
            </w:r>
            <w:proofErr w:type="spellStart"/>
            <w:r w:rsidRPr="00066E57">
              <w:rPr>
                <w:sz w:val="18"/>
                <w:szCs w:val="18"/>
              </w:rPr>
              <w:t>microalgas</w:t>
            </w:r>
            <w:proofErr w:type="spellEnd"/>
            <w:r w:rsidRPr="00066E57">
              <w:rPr>
                <w:sz w:val="18"/>
                <w:szCs w:val="18"/>
              </w:rPr>
              <w:t>, ¿cuánto tenemos o podríamos tener? Ojo que la tabla que publicaron es para 300</w:t>
            </w:r>
            <w:r>
              <w:rPr>
                <w:sz w:val="18"/>
                <w:szCs w:val="18"/>
              </w:rPr>
              <w:t xml:space="preserve"> </w:t>
            </w:r>
            <w:r w:rsidRPr="00066E57">
              <w:rPr>
                <w:sz w:val="18"/>
                <w:szCs w:val="18"/>
              </w:rPr>
              <w:t>m² por lo que todavía no sabemos el potencial de este tipo de biomasa en Chile -0.5</w:t>
            </w:r>
          </w:p>
        </w:tc>
      </w:tr>
      <w:tr w:rsidR="00FD5129" w:rsidTr="00FB2133">
        <w:trPr>
          <w:jc w:val="center"/>
        </w:trPr>
        <w:tc>
          <w:tcPr>
            <w:tcW w:w="2172" w:type="dxa"/>
          </w:tcPr>
          <w:p w:rsidR="00FD5129" w:rsidRPr="003D5B01" w:rsidRDefault="005E275A" w:rsidP="007229BE">
            <w:pPr>
              <w:rPr>
                <w:sz w:val="36"/>
              </w:rPr>
            </w:pPr>
            <w:r>
              <w:rPr>
                <w:sz w:val="36"/>
              </w:rPr>
              <w:t xml:space="preserve">Discusiones y </w:t>
            </w:r>
            <w:r w:rsidR="003D5B01" w:rsidRPr="003D5B01">
              <w:rPr>
                <w:sz w:val="36"/>
              </w:rPr>
              <w:t>Conclusiones</w:t>
            </w:r>
          </w:p>
        </w:tc>
        <w:tc>
          <w:tcPr>
            <w:tcW w:w="1457" w:type="dxa"/>
          </w:tcPr>
          <w:p w:rsidR="00FD5129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0,7</w:t>
            </w:r>
            <w:r w:rsidR="003D5B01" w:rsidRPr="003D5B01">
              <w:rPr>
                <w:sz w:val="36"/>
              </w:rPr>
              <w:t>/1,0</w:t>
            </w:r>
          </w:p>
        </w:tc>
        <w:tc>
          <w:tcPr>
            <w:tcW w:w="5325" w:type="dxa"/>
          </w:tcPr>
          <w:p w:rsidR="00FD5129" w:rsidRDefault="00066E57" w:rsidP="002729E7">
            <w:pPr>
              <w:rPr>
                <w:sz w:val="18"/>
                <w:szCs w:val="18"/>
              </w:rPr>
            </w:pPr>
            <w:proofErr w:type="spellStart"/>
            <w:r w:rsidRPr="00066E57">
              <w:rPr>
                <w:sz w:val="18"/>
                <w:szCs w:val="18"/>
              </w:rPr>
              <w:t>Macroalgas</w:t>
            </w:r>
            <w:proofErr w:type="spellEnd"/>
            <w:r w:rsidRPr="00066E57">
              <w:rPr>
                <w:sz w:val="18"/>
                <w:szCs w:val="18"/>
              </w:rPr>
              <w:t xml:space="preserve"> mejor que </w:t>
            </w:r>
            <w:proofErr w:type="spellStart"/>
            <w:r w:rsidRPr="00066E57">
              <w:rPr>
                <w:sz w:val="18"/>
                <w:szCs w:val="18"/>
              </w:rPr>
              <w:t>microalgas</w:t>
            </w:r>
            <w:proofErr w:type="spellEnd"/>
            <w:r w:rsidRPr="00066E57">
              <w:rPr>
                <w:sz w:val="18"/>
                <w:szCs w:val="18"/>
              </w:rPr>
              <w:t xml:space="preserve">. Pudieron incluir, en las </w:t>
            </w:r>
            <w:proofErr w:type="spellStart"/>
            <w:r w:rsidRPr="00066E57">
              <w:rPr>
                <w:sz w:val="18"/>
                <w:szCs w:val="18"/>
              </w:rPr>
              <w:t>microalgas</w:t>
            </w:r>
            <w:proofErr w:type="spellEnd"/>
            <w:r w:rsidRPr="00066E57">
              <w:rPr>
                <w:sz w:val="18"/>
                <w:szCs w:val="18"/>
              </w:rPr>
              <w:t xml:space="preserve">, un potencial de cosecha sustentable, pero los datos exhibidos son buenos. No hicieron el ejercicio de estimación para las </w:t>
            </w:r>
            <w:proofErr w:type="spellStart"/>
            <w:r w:rsidRPr="00066E57">
              <w:rPr>
                <w:sz w:val="18"/>
                <w:szCs w:val="18"/>
              </w:rPr>
              <w:t>microalgas</w:t>
            </w:r>
            <w:proofErr w:type="spellEnd"/>
            <w:r w:rsidRPr="00066E57">
              <w:rPr>
                <w:sz w:val="18"/>
                <w:szCs w:val="18"/>
              </w:rPr>
              <w:t>. Sólo tomaron los datos de otro trabajo que utilizó 300</w:t>
            </w:r>
            <w:r>
              <w:rPr>
                <w:sz w:val="18"/>
                <w:szCs w:val="18"/>
              </w:rPr>
              <w:t xml:space="preserve"> </w:t>
            </w:r>
            <w:r w:rsidRPr="00066E57">
              <w:rPr>
                <w:sz w:val="18"/>
                <w:szCs w:val="18"/>
              </w:rPr>
              <w:t>m² como base. Uds. podrían haber usado esos datos para estimar el potencial en Chile. -0.3</w:t>
            </w:r>
          </w:p>
          <w:p w:rsidR="00F21C8A" w:rsidRPr="00A85B1F" w:rsidRDefault="00F21C8A" w:rsidP="00272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 trabajos para </w:t>
            </w:r>
            <w:proofErr w:type="spellStart"/>
            <w:r>
              <w:rPr>
                <w:sz w:val="18"/>
                <w:szCs w:val="18"/>
              </w:rPr>
              <w:t>macroalgas</w:t>
            </w:r>
            <w:proofErr w:type="spellEnd"/>
            <w:r>
              <w:rPr>
                <w:sz w:val="18"/>
                <w:szCs w:val="18"/>
              </w:rPr>
              <w:t xml:space="preserve"> en el sur de Chile.</w:t>
            </w:r>
          </w:p>
        </w:tc>
      </w:tr>
      <w:tr w:rsidR="00FD5129" w:rsidTr="00FB2133">
        <w:trPr>
          <w:jc w:val="center"/>
        </w:trPr>
        <w:tc>
          <w:tcPr>
            <w:tcW w:w="2172" w:type="dxa"/>
          </w:tcPr>
          <w:p w:rsidR="00FD5129" w:rsidRPr="003D5B01" w:rsidRDefault="00B14567" w:rsidP="007229BE">
            <w:pPr>
              <w:rPr>
                <w:sz w:val="36"/>
              </w:rPr>
            </w:pPr>
            <w:proofErr w:type="spellStart"/>
            <w:r>
              <w:rPr>
                <w:sz w:val="36"/>
              </w:rPr>
              <w:t>Bo</w:t>
            </w:r>
            <w:r w:rsidR="003D5B01" w:rsidRPr="003D5B01">
              <w:rPr>
                <w:sz w:val="36"/>
              </w:rPr>
              <w:t>nus</w:t>
            </w:r>
            <w:proofErr w:type="spellEnd"/>
            <w:r w:rsidR="005E275A">
              <w:rPr>
                <w:sz w:val="36"/>
              </w:rPr>
              <w:t>: bibliografías</w:t>
            </w:r>
          </w:p>
        </w:tc>
        <w:tc>
          <w:tcPr>
            <w:tcW w:w="1457" w:type="dxa"/>
          </w:tcPr>
          <w:p w:rsidR="00FD5129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0,5</w:t>
            </w:r>
            <w:r w:rsidR="003D5B01" w:rsidRPr="003D5B01">
              <w:rPr>
                <w:sz w:val="36"/>
              </w:rPr>
              <w:t>/0,5</w:t>
            </w:r>
          </w:p>
        </w:tc>
        <w:tc>
          <w:tcPr>
            <w:tcW w:w="5325" w:type="dxa"/>
          </w:tcPr>
          <w:p w:rsidR="00FD5129" w:rsidRPr="00A85B1F" w:rsidRDefault="002729E7" w:rsidP="007229BE">
            <w:pPr>
              <w:rPr>
                <w:color w:val="1F497D" w:themeColor="text2"/>
                <w:sz w:val="18"/>
                <w:szCs w:val="18"/>
              </w:rPr>
            </w:pPr>
            <w:r>
              <w:rPr>
                <w:sz w:val="18"/>
                <w:szCs w:val="18"/>
              </w:rPr>
              <w:t>Bien la bibliografía.</w:t>
            </w:r>
          </w:p>
        </w:tc>
      </w:tr>
      <w:tr w:rsidR="00B14567" w:rsidTr="00FB2133">
        <w:trPr>
          <w:jc w:val="center"/>
        </w:trPr>
        <w:tc>
          <w:tcPr>
            <w:tcW w:w="2172" w:type="dxa"/>
          </w:tcPr>
          <w:p w:rsidR="00B14567" w:rsidRPr="003D5B01" w:rsidRDefault="00B14567" w:rsidP="007229BE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Puntos totales</w:t>
            </w:r>
          </w:p>
        </w:tc>
        <w:tc>
          <w:tcPr>
            <w:tcW w:w="1457" w:type="dxa"/>
          </w:tcPr>
          <w:p w:rsidR="002729E7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4,4</w:t>
            </w:r>
            <w:r w:rsidR="00B14567">
              <w:rPr>
                <w:sz w:val="36"/>
              </w:rPr>
              <w:t>/6,0</w:t>
            </w:r>
          </w:p>
          <w:p w:rsidR="00066E57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+0,5</w:t>
            </w:r>
          </w:p>
        </w:tc>
        <w:tc>
          <w:tcPr>
            <w:tcW w:w="5325" w:type="dxa"/>
          </w:tcPr>
          <w:p w:rsidR="00B14567" w:rsidRPr="00A85B1F" w:rsidRDefault="00066E57" w:rsidP="00722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066E57">
              <w:rPr>
                <w:sz w:val="18"/>
                <w:szCs w:val="18"/>
              </w:rPr>
              <w:t xml:space="preserve">l trabajo considera el potencial de las </w:t>
            </w:r>
            <w:proofErr w:type="spellStart"/>
            <w:r w:rsidRPr="00066E57">
              <w:rPr>
                <w:sz w:val="18"/>
                <w:szCs w:val="18"/>
              </w:rPr>
              <w:t>microalgas</w:t>
            </w:r>
            <w:proofErr w:type="spellEnd"/>
            <w:r w:rsidRPr="00066E57">
              <w:rPr>
                <w:sz w:val="18"/>
                <w:szCs w:val="18"/>
              </w:rPr>
              <w:t>, pero no una estimación de su disponibilidad. En el caso de las macroalgas, es al revés: se tiene su disponibilidad</w:t>
            </w:r>
            <w:r>
              <w:rPr>
                <w:sz w:val="18"/>
                <w:szCs w:val="18"/>
              </w:rPr>
              <w:t xml:space="preserve"> (no ajustada a cosecha sustenta</w:t>
            </w:r>
            <w:r w:rsidRPr="00066E57">
              <w:rPr>
                <w:sz w:val="18"/>
                <w:szCs w:val="18"/>
              </w:rPr>
              <w:t>ble), pero falta su potencial energético.</w:t>
            </w:r>
          </w:p>
        </w:tc>
      </w:tr>
      <w:tr w:rsidR="003D5B01" w:rsidTr="00FB2133">
        <w:trPr>
          <w:jc w:val="center"/>
        </w:trPr>
        <w:tc>
          <w:tcPr>
            <w:tcW w:w="2172" w:type="dxa"/>
          </w:tcPr>
          <w:p w:rsidR="003D5B01" w:rsidRPr="003D5B01" w:rsidRDefault="003D5B01" w:rsidP="007229BE">
            <w:pPr>
              <w:rPr>
                <w:b/>
                <w:sz w:val="36"/>
              </w:rPr>
            </w:pPr>
            <w:r w:rsidRPr="003D5B01">
              <w:rPr>
                <w:b/>
                <w:sz w:val="36"/>
              </w:rPr>
              <w:t>Nota</w:t>
            </w:r>
          </w:p>
        </w:tc>
        <w:tc>
          <w:tcPr>
            <w:tcW w:w="1457" w:type="dxa"/>
          </w:tcPr>
          <w:p w:rsidR="003D5B01" w:rsidRPr="003D5B01" w:rsidRDefault="00066E57" w:rsidP="007229BE">
            <w:pPr>
              <w:rPr>
                <w:sz w:val="36"/>
              </w:rPr>
            </w:pPr>
            <w:r>
              <w:rPr>
                <w:sz w:val="36"/>
              </w:rPr>
              <w:t>5,9</w:t>
            </w:r>
          </w:p>
        </w:tc>
        <w:tc>
          <w:tcPr>
            <w:tcW w:w="5325" w:type="dxa"/>
          </w:tcPr>
          <w:p w:rsidR="003D5B01" w:rsidRPr="003D5B01" w:rsidRDefault="003D5B01" w:rsidP="007229BE">
            <w:pPr>
              <w:rPr>
                <w:sz w:val="36"/>
              </w:rPr>
            </w:pPr>
          </w:p>
        </w:tc>
      </w:tr>
    </w:tbl>
    <w:p w:rsidR="00AB3E97" w:rsidRDefault="00AB3E97" w:rsidP="00AB3E97">
      <w:pPr>
        <w:rPr>
          <w:rFonts w:ascii="Calibri" w:hAnsi="Calibri"/>
          <w:sz w:val="22"/>
          <w:szCs w:val="22"/>
        </w:rPr>
      </w:pPr>
    </w:p>
    <w:p w:rsidR="00CF15A8" w:rsidRDefault="00CF15A8" w:rsidP="00AB3E9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Tarea en formato *.pdf </w:t>
      </w:r>
      <w:r w:rsidR="00F21C8A">
        <w:rPr>
          <w:rFonts w:ascii="Calibri" w:hAnsi="Calibri"/>
          <w:sz w:val="22"/>
          <w:szCs w:val="22"/>
        </w:rPr>
        <w:t>adjunta</w:t>
      </w:r>
      <w:r>
        <w:rPr>
          <w:rFonts w:ascii="Calibri" w:hAnsi="Calibri"/>
          <w:sz w:val="22"/>
          <w:szCs w:val="22"/>
        </w:rPr>
        <w:t>.</w:t>
      </w:r>
    </w:p>
    <w:p w:rsidR="00F21C8A" w:rsidRPr="004452CB" w:rsidRDefault="00F21C8A" w:rsidP="00AB3E9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Favor enviar tareas en formato doc</w:t>
      </w:r>
    </w:p>
    <w:sectPr w:rsidR="00F21C8A" w:rsidRPr="004452CB" w:rsidSect="00EF62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5E14"/>
    <w:multiLevelType w:val="hybridMultilevel"/>
    <w:tmpl w:val="B7582058"/>
    <w:lvl w:ilvl="0" w:tplc="E10E7E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E2703"/>
    <w:multiLevelType w:val="hybridMultilevel"/>
    <w:tmpl w:val="CBC877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01B3F"/>
    <w:multiLevelType w:val="hybridMultilevel"/>
    <w:tmpl w:val="73201058"/>
    <w:lvl w:ilvl="0" w:tplc="E4F06DF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E21A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0450A04"/>
    <w:multiLevelType w:val="hybridMultilevel"/>
    <w:tmpl w:val="8438DA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9264C"/>
    <w:rsid w:val="000241A2"/>
    <w:rsid w:val="00041D2E"/>
    <w:rsid w:val="00066E57"/>
    <w:rsid w:val="00087EA2"/>
    <w:rsid w:val="000E7625"/>
    <w:rsid w:val="00134DDA"/>
    <w:rsid w:val="00137F64"/>
    <w:rsid w:val="00193D0D"/>
    <w:rsid w:val="0021289C"/>
    <w:rsid w:val="00237908"/>
    <w:rsid w:val="002729E7"/>
    <w:rsid w:val="00283927"/>
    <w:rsid w:val="002D0001"/>
    <w:rsid w:val="002D4F5A"/>
    <w:rsid w:val="002F7184"/>
    <w:rsid w:val="00310ED5"/>
    <w:rsid w:val="00320430"/>
    <w:rsid w:val="00353B8B"/>
    <w:rsid w:val="0038149A"/>
    <w:rsid w:val="00386FDA"/>
    <w:rsid w:val="00393035"/>
    <w:rsid w:val="003D5B01"/>
    <w:rsid w:val="003F65D1"/>
    <w:rsid w:val="004258B2"/>
    <w:rsid w:val="004452CB"/>
    <w:rsid w:val="00453563"/>
    <w:rsid w:val="00455D01"/>
    <w:rsid w:val="004576DC"/>
    <w:rsid w:val="0046491E"/>
    <w:rsid w:val="004661D4"/>
    <w:rsid w:val="0052479F"/>
    <w:rsid w:val="00575368"/>
    <w:rsid w:val="005A6271"/>
    <w:rsid w:val="005E275A"/>
    <w:rsid w:val="006531C0"/>
    <w:rsid w:val="007229BE"/>
    <w:rsid w:val="00753AEB"/>
    <w:rsid w:val="0084312F"/>
    <w:rsid w:val="008E5384"/>
    <w:rsid w:val="00952C0E"/>
    <w:rsid w:val="00970914"/>
    <w:rsid w:val="00973375"/>
    <w:rsid w:val="009E7A70"/>
    <w:rsid w:val="00A64DE2"/>
    <w:rsid w:val="00A73798"/>
    <w:rsid w:val="00A85B1F"/>
    <w:rsid w:val="00AB3E97"/>
    <w:rsid w:val="00B14567"/>
    <w:rsid w:val="00CC04EC"/>
    <w:rsid w:val="00CE2050"/>
    <w:rsid w:val="00CF15A8"/>
    <w:rsid w:val="00D17E0A"/>
    <w:rsid w:val="00D3480E"/>
    <w:rsid w:val="00DD3479"/>
    <w:rsid w:val="00EC3109"/>
    <w:rsid w:val="00ED0C38"/>
    <w:rsid w:val="00EF2AEA"/>
    <w:rsid w:val="00EF62C1"/>
    <w:rsid w:val="00F12296"/>
    <w:rsid w:val="00F21C8A"/>
    <w:rsid w:val="00F86D14"/>
    <w:rsid w:val="00F9264C"/>
    <w:rsid w:val="00FB2133"/>
    <w:rsid w:val="00FD5129"/>
    <w:rsid w:val="00FE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62C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F9264C"/>
    <w:pPr>
      <w:spacing w:before="100" w:beforeAutospacing="1" w:after="100" w:afterAutospacing="1"/>
    </w:pPr>
  </w:style>
  <w:style w:type="character" w:styleId="nfasis">
    <w:name w:val="Emphasis"/>
    <w:basedOn w:val="Fuentedeprrafopredeter"/>
    <w:qFormat/>
    <w:rsid w:val="00F9264C"/>
    <w:rPr>
      <w:i/>
      <w:iCs/>
    </w:rPr>
  </w:style>
  <w:style w:type="character" w:customStyle="1" w:styleId="MTEquationSection">
    <w:name w:val="MTEquationSection"/>
    <w:basedOn w:val="Fuentedeprrafopredeter"/>
    <w:rsid w:val="007229BE"/>
    <w:rPr>
      <w:vanish/>
      <w:color w:val="FF0000"/>
    </w:rPr>
  </w:style>
  <w:style w:type="paragraph" w:styleId="Prrafodelista">
    <w:name w:val="List Paragraph"/>
    <w:basedOn w:val="Normal"/>
    <w:uiPriority w:val="34"/>
    <w:qFormat/>
    <w:rsid w:val="00EC31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  <w:style w:type="character" w:customStyle="1" w:styleId="apple-style-span">
    <w:name w:val="apple-style-span"/>
    <w:basedOn w:val="Fuentedeprrafopredeter"/>
    <w:rsid w:val="00EC3109"/>
  </w:style>
  <w:style w:type="character" w:customStyle="1" w:styleId="apple-converted-space">
    <w:name w:val="apple-converted-space"/>
    <w:basedOn w:val="Fuentedeprrafopredeter"/>
    <w:rsid w:val="00EC3109"/>
  </w:style>
  <w:style w:type="character" w:styleId="Hipervnculo">
    <w:name w:val="Hyperlink"/>
    <w:basedOn w:val="Fuentedeprrafopredeter"/>
    <w:rsid w:val="00455D01"/>
    <w:rPr>
      <w:color w:val="0000FF"/>
      <w:u w:val="single"/>
    </w:rPr>
  </w:style>
  <w:style w:type="character" w:styleId="Refdecomentario">
    <w:name w:val="annotation reference"/>
    <w:basedOn w:val="Fuentedeprrafopredeter"/>
    <w:rsid w:val="00FD512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D512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FD5129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D51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D5129"/>
    <w:rPr>
      <w:b/>
      <w:bCs/>
    </w:rPr>
  </w:style>
  <w:style w:type="paragraph" w:styleId="Textodeglobo">
    <w:name w:val="Balloon Text"/>
    <w:basedOn w:val="Normal"/>
    <w:link w:val="TextodegloboCar"/>
    <w:rsid w:val="00FD51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D5129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FD51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DEFINICION DESECHOS SEGÚN CIIU Clasificación Industrial Internacional Uniforme</vt:lpstr>
    </vt:vector>
  </TitlesOfParts>
  <Company>.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DEFINICION DESECHOS SEGÚN CIIU Clasificación Industrial Internacional Uniforme</dc:title>
  <dc:creator>.</dc:creator>
  <cp:lastModifiedBy>FCFM</cp:lastModifiedBy>
  <cp:revision>2</cp:revision>
  <cp:lastPrinted>2010-09-01T20:03:00Z</cp:lastPrinted>
  <dcterms:created xsi:type="dcterms:W3CDTF">2010-09-21T23:34:00Z</dcterms:created>
  <dcterms:modified xsi:type="dcterms:W3CDTF">2010-09-21T23:34:00Z</dcterms:modified>
</cp:coreProperties>
</file>