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D1D" w:rsidRDefault="004C1D1D"/>
    <w:p w:rsidR="004C1D1D" w:rsidRDefault="004C1D1D">
      <w:r>
        <w:t xml:space="preserve">La Figura 1 muestra los resultados de semestres anteriores en el crecimiento de levadura en forma </w:t>
      </w:r>
      <w:proofErr w:type="spellStart"/>
      <w:r>
        <w:t>batch</w:t>
      </w:r>
      <w:proofErr w:type="spellEnd"/>
      <w:r>
        <w:t xml:space="preserve"> por 24 horas. Condiciones de operación fueron  </w:t>
      </w:r>
      <w:r w:rsidRPr="004C1D1D">
        <w:t>30° C en un agitador (</w:t>
      </w:r>
      <w:proofErr w:type="spellStart"/>
      <w:r w:rsidRPr="004C1D1D">
        <w:t>shaker</w:t>
      </w:r>
      <w:proofErr w:type="spellEnd"/>
      <w:r w:rsidRPr="004C1D1D">
        <w:t>)  a 180 rpm.</w:t>
      </w:r>
      <w:r w:rsidRPr="000B7E4A">
        <w:rPr>
          <w:rFonts w:ascii="Arial" w:hAnsi="Arial" w:cs="Arial"/>
          <w:lang w:val="es-MX"/>
        </w:rPr>
        <w:t xml:space="preserve"> </w:t>
      </w:r>
      <w:r>
        <w:t xml:space="preserve"> </w:t>
      </w:r>
    </w:p>
    <w:p w:rsidR="004C1D1D" w:rsidRDefault="004C1D1D">
      <w:r>
        <w:t>Comparen sus resultados con estos, para ver si se lograron mejoras en el crecimiento.</w:t>
      </w:r>
    </w:p>
    <w:p w:rsidR="004C1D1D" w:rsidRDefault="004C1D1D"/>
    <w:p w:rsidR="004C1D1D" w:rsidRDefault="004C1D1D"/>
    <w:p w:rsidR="00367D8B" w:rsidRDefault="004C1D1D">
      <w:r w:rsidRPr="004C1D1D">
        <w:drawing>
          <wp:inline distT="0" distB="0" distL="0" distR="0">
            <wp:extent cx="4829175" cy="3457575"/>
            <wp:effectExtent l="19050" t="0" r="9525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367D8B" w:rsidSect="00367D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1D1D"/>
    <w:rsid w:val="00264ECD"/>
    <w:rsid w:val="00367D8B"/>
    <w:rsid w:val="004C1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D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C1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1D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Maria%20Elena%20Lienqueo\AppData\Local\Temp\wzfd63\resultado_de_lab_fermentacion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CL"/>
  <c:chart>
    <c:plotArea>
      <c:layout>
        <c:manualLayout>
          <c:layoutTarget val="inner"/>
          <c:xMode val="edge"/>
          <c:yMode val="edge"/>
          <c:x val="0.19044267395569639"/>
          <c:y val="5.5472983232467889E-2"/>
          <c:w val="0.76730228248096211"/>
          <c:h val="0.63024316175354111"/>
        </c:manualLayout>
      </c:layout>
      <c:scatterChart>
        <c:scatterStyle val="smoothMarker"/>
        <c:ser>
          <c:idx val="0"/>
          <c:order val="0"/>
          <c:tx>
            <c:strRef>
              <c:f>Datos!$D$33</c:f>
              <c:strCache>
                <c:ptCount val="1"/>
                <c:pt idx="0">
                  <c:v>biomasa 1 [g/L]</c:v>
                </c:pt>
              </c:strCache>
            </c:strRef>
          </c:tx>
          <c:xVal>
            <c:numRef>
              <c:f>Datos!$C$34:$C$56</c:f>
              <c:numCache>
                <c:formatCode>General</c:formatCode>
                <c:ptCount val="23"/>
                <c:pt idx="0">
                  <c:v>0</c:v>
                </c:pt>
                <c:pt idx="1">
                  <c:v>15.999999999941794</c:v>
                </c:pt>
                <c:pt idx="2">
                  <c:v>16.666666666686073</c:v>
                </c:pt>
                <c:pt idx="3">
                  <c:v>18.099999999976717</c:v>
                </c:pt>
                <c:pt idx="4">
                  <c:v>18.833333333255723</c:v>
                </c:pt>
                <c:pt idx="5">
                  <c:v>19.733333333220795</c:v>
                </c:pt>
                <c:pt idx="6">
                  <c:v>19.833333333197512</c:v>
                </c:pt>
                <c:pt idx="7">
                  <c:v>20.783333333150942</c:v>
                </c:pt>
                <c:pt idx="8">
                  <c:v>21.916666666511446</c:v>
                </c:pt>
                <c:pt idx="9">
                  <c:v>39.999999999767162</c:v>
                </c:pt>
                <c:pt idx="10">
                  <c:v>0</c:v>
                </c:pt>
                <c:pt idx="11">
                  <c:v>0.91666666668606922</c:v>
                </c:pt>
                <c:pt idx="12">
                  <c:v>1.8333333333721382</c:v>
                </c:pt>
                <c:pt idx="13">
                  <c:v>2.9166666667442764</c:v>
                </c:pt>
                <c:pt idx="14">
                  <c:v>3.9166666666860683</c:v>
                </c:pt>
                <c:pt idx="15">
                  <c:v>4.9166666666278624</c:v>
                </c:pt>
                <c:pt idx="16">
                  <c:v>6.0166666665463708</c:v>
                </c:pt>
                <c:pt idx="17">
                  <c:v>7.0999999999185093</c:v>
                </c:pt>
                <c:pt idx="18">
                  <c:v>8.0999999998603034</c:v>
                </c:pt>
                <c:pt idx="19">
                  <c:v>10.049999999930151</c:v>
                </c:pt>
                <c:pt idx="20">
                  <c:v>23.966666666558012</c:v>
                </c:pt>
                <c:pt idx="21">
                  <c:v>26.033333333150946</c:v>
                </c:pt>
                <c:pt idx="22">
                  <c:v>31.966666666441593</c:v>
                </c:pt>
              </c:numCache>
            </c:numRef>
          </c:xVal>
          <c:yVal>
            <c:numRef>
              <c:f>Datos!$D$34:$D$56</c:f>
              <c:numCache>
                <c:formatCode>General</c:formatCode>
                <c:ptCount val="23"/>
                <c:pt idx="0">
                  <c:v>0.94430999999999998</c:v>
                </c:pt>
                <c:pt idx="1">
                  <c:v>18.826559999999994</c:v>
                </c:pt>
                <c:pt idx="2">
                  <c:v>20.004239999999992</c:v>
                </c:pt>
                <c:pt idx="3">
                  <c:v>18.766399999999997</c:v>
                </c:pt>
                <c:pt idx="4">
                  <c:v>20.238499999999988</c:v>
                </c:pt>
                <c:pt idx="5">
                  <c:v>16.663400000000003</c:v>
                </c:pt>
                <c:pt idx="6">
                  <c:v>18.626200000000001</c:v>
                </c:pt>
                <c:pt idx="7">
                  <c:v>14.350100000000003</c:v>
                </c:pt>
                <c:pt idx="8">
                  <c:v>19.046800000000001</c:v>
                </c:pt>
                <c:pt idx="9">
                  <c:v>23.95379999999999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Datos!$E$33</c:f>
              <c:strCache>
                <c:ptCount val="1"/>
                <c:pt idx="0">
                  <c:v>Biomasa 2[g/L]</c:v>
                </c:pt>
              </c:strCache>
            </c:strRef>
          </c:tx>
          <c:xVal>
            <c:numRef>
              <c:f>Datos!$C$34:$C$56</c:f>
              <c:numCache>
                <c:formatCode>General</c:formatCode>
                <c:ptCount val="23"/>
                <c:pt idx="0">
                  <c:v>0</c:v>
                </c:pt>
                <c:pt idx="1">
                  <c:v>15.999999999941794</c:v>
                </c:pt>
                <c:pt idx="2">
                  <c:v>16.666666666686073</c:v>
                </c:pt>
                <c:pt idx="3">
                  <c:v>18.099999999976717</c:v>
                </c:pt>
                <c:pt idx="4">
                  <c:v>18.833333333255723</c:v>
                </c:pt>
                <c:pt idx="5">
                  <c:v>19.733333333220795</c:v>
                </c:pt>
                <c:pt idx="6">
                  <c:v>19.833333333197512</c:v>
                </c:pt>
                <c:pt idx="7">
                  <c:v>20.783333333150942</c:v>
                </c:pt>
                <c:pt idx="8">
                  <c:v>21.916666666511446</c:v>
                </c:pt>
                <c:pt idx="9">
                  <c:v>39.999999999767162</c:v>
                </c:pt>
                <c:pt idx="10">
                  <c:v>0</c:v>
                </c:pt>
                <c:pt idx="11">
                  <c:v>0.91666666668606922</c:v>
                </c:pt>
                <c:pt idx="12">
                  <c:v>1.8333333333721382</c:v>
                </c:pt>
                <c:pt idx="13">
                  <c:v>2.9166666667442764</c:v>
                </c:pt>
                <c:pt idx="14">
                  <c:v>3.9166666666860683</c:v>
                </c:pt>
                <c:pt idx="15">
                  <c:v>4.9166666666278624</c:v>
                </c:pt>
                <c:pt idx="16">
                  <c:v>6.0166666665463708</c:v>
                </c:pt>
                <c:pt idx="17">
                  <c:v>7.0999999999185093</c:v>
                </c:pt>
                <c:pt idx="18">
                  <c:v>8.0999999998603034</c:v>
                </c:pt>
                <c:pt idx="19">
                  <c:v>10.049999999930151</c:v>
                </c:pt>
                <c:pt idx="20">
                  <c:v>23.966666666558012</c:v>
                </c:pt>
                <c:pt idx="21">
                  <c:v>26.033333333150946</c:v>
                </c:pt>
                <c:pt idx="22">
                  <c:v>31.966666666441593</c:v>
                </c:pt>
              </c:numCache>
            </c:numRef>
          </c:xVal>
          <c:yVal>
            <c:numRef>
              <c:f>Datos!$E$34:$E$56</c:f>
              <c:numCache>
                <c:formatCode>General</c:formatCode>
                <c:ptCount val="23"/>
                <c:pt idx="10">
                  <c:v>0.90925999999999996</c:v>
                </c:pt>
                <c:pt idx="11">
                  <c:v>0.91627000000000003</c:v>
                </c:pt>
                <c:pt idx="12">
                  <c:v>0.93730000000000002</c:v>
                </c:pt>
                <c:pt idx="13">
                  <c:v>1.0354399999999997</c:v>
                </c:pt>
                <c:pt idx="14">
                  <c:v>1.13358</c:v>
                </c:pt>
                <c:pt idx="15">
                  <c:v>1.3228499999999999</c:v>
                </c:pt>
                <c:pt idx="16">
                  <c:v>1.61727</c:v>
                </c:pt>
                <c:pt idx="17">
                  <c:v>2.3463099999999995</c:v>
                </c:pt>
                <c:pt idx="18">
                  <c:v>3.4167999999999994</c:v>
                </c:pt>
                <c:pt idx="19">
                  <c:v>7.7869600000000014</c:v>
                </c:pt>
                <c:pt idx="20">
                  <c:v>23.18269999999999</c:v>
                </c:pt>
                <c:pt idx="21">
                  <c:v>33.467000000000006</c:v>
                </c:pt>
                <c:pt idx="22">
                  <c:v>37.252400000000002</c:v>
                </c:pt>
              </c:numCache>
            </c:numRef>
          </c:yVal>
          <c:smooth val="1"/>
        </c:ser>
        <c:axId val="128516096"/>
        <c:axId val="128517632"/>
      </c:scatterChart>
      <c:valAx>
        <c:axId val="128516096"/>
        <c:scaling>
          <c:orientation val="minMax"/>
          <c:max val="24"/>
          <c:min val="0"/>
        </c:scaling>
        <c:axPos val="b"/>
        <c:numFmt formatCode="General" sourceLinked="1"/>
        <c:tickLblPos val="nextTo"/>
        <c:crossAx val="128517632"/>
        <c:crosses val="autoZero"/>
        <c:crossBetween val="midCat"/>
        <c:majorUnit val="2"/>
      </c:valAx>
      <c:valAx>
        <c:axId val="128517632"/>
        <c:scaling>
          <c:orientation val="minMax"/>
          <c:max val="25"/>
        </c:scaling>
        <c:axPos val="l"/>
        <c:majorGridlines/>
        <c:numFmt formatCode="General" sourceLinked="1"/>
        <c:tickLblPos val="nextTo"/>
        <c:crossAx val="128516096"/>
        <c:crosses val="autoZero"/>
        <c:crossBetween val="midCat"/>
      </c:valAx>
    </c:plotArea>
    <c:legend>
      <c:legendPos val="b"/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0.29783</cdr:x>
      <cdr:y>0.7989</cdr:y>
    </cdr:from>
    <cdr:to>
      <cdr:x>0.76726</cdr:x>
      <cdr:y>0.90634</cdr:y>
    </cdr:to>
    <cdr:sp macro="" textlink="">
      <cdr:nvSpPr>
        <cdr:cNvPr id="2" name="1 CuadroTexto"/>
        <cdr:cNvSpPr txBox="1"/>
      </cdr:nvSpPr>
      <cdr:spPr>
        <a:xfrm xmlns:a="http://schemas.openxmlformats.org/drawingml/2006/main">
          <a:off x="1438276" y="2762251"/>
          <a:ext cx="2266950" cy="3714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s-CL" sz="1100"/>
            <a:t>Tiempo </a:t>
          </a:r>
          <a:r>
            <a:rPr lang="es-CL" sz="1100" baseline="0"/>
            <a:t> [h]</a:t>
          </a:r>
          <a:endParaRPr lang="es-CL" sz="1100"/>
        </a:p>
      </cdr:txBody>
    </cdr:sp>
  </cdr:relSizeAnchor>
  <cdr:relSizeAnchor xmlns:cdr="http://schemas.openxmlformats.org/drawingml/2006/chartDrawing">
    <cdr:from>
      <cdr:x>0.04339</cdr:x>
      <cdr:y>0.01102</cdr:y>
    </cdr:from>
    <cdr:to>
      <cdr:x>0.11243</cdr:x>
      <cdr:y>0.64463</cdr:y>
    </cdr:to>
    <cdr:sp macro="" textlink="">
      <cdr:nvSpPr>
        <cdr:cNvPr id="3" name="2 CuadroTexto"/>
        <cdr:cNvSpPr txBox="1"/>
      </cdr:nvSpPr>
      <cdr:spPr>
        <a:xfrm xmlns:a="http://schemas.openxmlformats.org/drawingml/2006/main">
          <a:off x="209551" y="38102"/>
          <a:ext cx="333375" cy="21907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vert270" wrap="square" rtlCol="0"/>
        <a:lstStyle xmlns:a="http://schemas.openxmlformats.org/drawingml/2006/main"/>
        <a:p xmlns:a="http://schemas.openxmlformats.org/drawingml/2006/main">
          <a:r>
            <a:rPr lang="es-CL" sz="1100"/>
            <a:t>Concentración Biomasa  [g/L]</a:t>
          </a:r>
        </a:p>
      </cdr:txBody>
    </cdr:sp>
  </cdr:relSizeAnchor>
</c:userShape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242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Elena Lienqueo</dc:creator>
  <cp:lastModifiedBy>Maria Elena Lienqueo</cp:lastModifiedBy>
  <cp:revision>1</cp:revision>
  <dcterms:created xsi:type="dcterms:W3CDTF">2009-06-26T04:25:00Z</dcterms:created>
  <dcterms:modified xsi:type="dcterms:W3CDTF">2009-06-26T04:29:00Z</dcterms:modified>
</cp:coreProperties>
</file>