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687" w:rsidRPr="00AF1071" w:rsidRDefault="00667687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185968">
      <w:pPr>
        <w:rPr>
          <w:rFonts w:asciiTheme="minorHAnsi" w:hAnsiTheme="minorHAnsi"/>
          <w:szCs w:val="24"/>
          <w:lang w:val="es-MX"/>
        </w:rPr>
      </w:pPr>
      <w:r>
        <w:rPr>
          <w:rFonts w:asciiTheme="minorHAnsi" w:hAnsiTheme="minorHAnsi"/>
          <w:noProof/>
          <w:szCs w:val="24"/>
          <w:lang w:val="es-CL" w:eastAsia="es-C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76.45pt;margin-top:15.15pt;width:206.25pt;height:57.75pt;z-index:251658240" stroked="f">
            <v:textbox>
              <w:txbxContent>
                <w:p w:rsidR="00667687" w:rsidRP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Profesor Cátedra:</w:t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  <w:t>Raúl Castro</w:t>
                  </w:r>
                </w:p>
                <w:p w:rsid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</w:p>
                <w:p w:rsidR="00667687" w:rsidRP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Auxiliares:</w:t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Nicolás Montecino</w:t>
                  </w:r>
                </w:p>
                <w:p w:rsidR="00667687" w:rsidRPr="00667687" w:rsidRDefault="00667687">
                  <w:pPr>
                    <w:rPr>
                      <w:rFonts w:asciiTheme="minorHAnsi" w:hAnsiTheme="minorHAnsi"/>
                      <w:sz w:val="20"/>
                      <w:lang w:val="es-MX"/>
                    </w:rPr>
                  </w:pP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>
                    <w:rPr>
                      <w:rFonts w:asciiTheme="minorHAnsi" w:hAnsiTheme="minorHAnsi"/>
                      <w:sz w:val="20"/>
                      <w:lang w:val="es-MX"/>
                    </w:rPr>
                    <w:tab/>
                  </w:r>
                  <w:r w:rsidRPr="00667687">
                    <w:rPr>
                      <w:rFonts w:asciiTheme="minorHAnsi" w:hAnsiTheme="minorHAnsi"/>
                      <w:sz w:val="20"/>
                      <w:lang w:val="es-MX"/>
                    </w:rPr>
                    <w:t>Javier Cornejo</w:t>
                  </w:r>
                </w:p>
              </w:txbxContent>
            </v:textbox>
          </v:shape>
        </w:pict>
      </w:r>
      <w:r w:rsidR="00667687" w:rsidRPr="00AF1071">
        <w:rPr>
          <w:rFonts w:asciiTheme="minorHAnsi" w:hAnsiTheme="minorHAnsi"/>
          <w:szCs w:val="24"/>
        </w:rPr>
        <w:object w:dxaOrig="7816" w:dyaOrig="36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5pt;height:80.25pt" o:ole="">
            <v:imagedata r:id="rId5" o:title=""/>
          </v:shape>
          <o:OLEObject Type="Embed" ProgID="MSPhotoEd.3" ShapeID="_x0000_i1025" DrawAspect="Content" ObjectID="_1300637938" r:id="rId6"/>
        </w:object>
      </w:r>
    </w:p>
    <w:p w:rsidR="00667687" w:rsidRPr="00AF1071" w:rsidRDefault="00667687" w:rsidP="00667687">
      <w:pPr>
        <w:jc w:val="center"/>
        <w:rPr>
          <w:rFonts w:asciiTheme="minorHAnsi" w:hAnsiTheme="minorHAnsi"/>
          <w:b/>
          <w:szCs w:val="24"/>
          <w:lang w:val="es-MX"/>
        </w:rPr>
      </w:pPr>
    </w:p>
    <w:p w:rsidR="00667687" w:rsidRPr="00AF1071" w:rsidRDefault="00667687" w:rsidP="00667687">
      <w:pPr>
        <w:jc w:val="center"/>
        <w:rPr>
          <w:rFonts w:asciiTheme="minorHAnsi" w:hAnsiTheme="minorHAnsi"/>
          <w:b/>
          <w:szCs w:val="24"/>
          <w:lang w:val="es-MX"/>
        </w:rPr>
      </w:pPr>
      <w:r w:rsidRPr="00AF1071">
        <w:rPr>
          <w:rFonts w:asciiTheme="minorHAnsi" w:hAnsiTheme="minorHAnsi"/>
          <w:b/>
          <w:szCs w:val="24"/>
          <w:lang w:val="es-MX"/>
        </w:rPr>
        <w:t>EI2001 – Taller de Proyecto</w:t>
      </w:r>
    </w:p>
    <w:p w:rsidR="00667687" w:rsidRPr="00AF1071" w:rsidRDefault="00667687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667687" w:rsidP="00667687">
      <w:pPr>
        <w:jc w:val="center"/>
        <w:rPr>
          <w:rFonts w:asciiTheme="minorHAnsi" w:hAnsiTheme="minorHAnsi"/>
          <w:b/>
          <w:i/>
          <w:szCs w:val="24"/>
          <w:lang w:val="es-MX"/>
        </w:rPr>
      </w:pPr>
      <w:r w:rsidRPr="00AF1071">
        <w:rPr>
          <w:rFonts w:asciiTheme="minorHAnsi" w:hAnsiTheme="minorHAnsi"/>
          <w:b/>
          <w:i/>
          <w:szCs w:val="24"/>
          <w:lang w:val="es-MX"/>
        </w:rPr>
        <w:t>“Profundización de la mina subterránea más grande del planeta:</w:t>
      </w:r>
    </w:p>
    <w:p w:rsidR="00667687" w:rsidRPr="00AF1071" w:rsidRDefault="00667687" w:rsidP="00667687">
      <w:pPr>
        <w:jc w:val="center"/>
        <w:rPr>
          <w:rFonts w:asciiTheme="minorHAnsi" w:hAnsiTheme="minorHAnsi"/>
          <w:b/>
          <w:i/>
          <w:szCs w:val="24"/>
          <w:lang w:val="es-MX"/>
        </w:rPr>
      </w:pPr>
      <w:r w:rsidRPr="00AF1071">
        <w:rPr>
          <w:rFonts w:asciiTheme="minorHAnsi" w:hAnsiTheme="minorHAnsi"/>
          <w:b/>
          <w:i/>
          <w:szCs w:val="24"/>
          <w:lang w:val="es-MX"/>
        </w:rPr>
        <w:t>El Teniente y sus desafíos para el siglo XXI”</w:t>
      </w:r>
    </w:p>
    <w:p w:rsidR="00667687" w:rsidRPr="00AF1071" w:rsidRDefault="00667687" w:rsidP="00667687">
      <w:pPr>
        <w:rPr>
          <w:rFonts w:asciiTheme="minorHAnsi" w:hAnsiTheme="minorHAnsi"/>
          <w:b/>
          <w:szCs w:val="24"/>
          <w:lang w:val="es-MX"/>
        </w:rPr>
      </w:pPr>
    </w:p>
    <w:p w:rsidR="00667687" w:rsidRPr="00AF1071" w:rsidRDefault="00667687" w:rsidP="00667687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  <w:r w:rsidRPr="00AF1071">
        <w:rPr>
          <w:rFonts w:asciiTheme="minorHAnsi" w:hAnsiTheme="minorHAnsi"/>
          <w:b/>
          <w:szCs w:val="24"/>
          <w:u w:val="single"/>
          <w:lang w:val="es-MX"/>
        </w:rPr>
        <w:t xml:space="preserve">Tarea </w:t>
      </w:r>
      <w:r w:rsidR="007B210F" w:rsidRPr="00AF1071">
        <w:rPr>
          <w:rFonts w:asciiTheme="minorHAnsi" w:hAnsiTheme="minorHAnsi"/>
          <w:b/>
          <w:szCs w:val="24"/>
          <w:u w:val="single"/>
          <w:lang w:val="es-MX"/>
        </w:rPr>
        <w:t>2</w:t>
      </w:r>
    </w:p>
    <w:p w:rsidR="00667687" w:rsidRPr="00AF1071" w:rsidRDefault="00667687" w:rsidP="00D42EA9">
      <w:pPr>
        <w:jc w:val="center"/>
        <w:rPr>
          <w:rFonts w:asciiTheme="minorHAnsi" w:hAnsiTheme="minorHAnsi"/>
          <w:szCs w:val="24"/>
          <w:lang w:val="es-MX"/>
        </w:rPr>
      </w:pPr>
      <w:r w:rsidRPr="00AF1071">
        <w:rPr>
          <w:rFonts w:asciiTheme="minorHAnsi" w:hAnsiTheme="minorHAnsi"/>
          <w:szCs w:val="24"/>
          <w:lang w:val="es-MX"/>
        </w:rPr>
        <w:br/>
        <w:t>Fecha Entrega:</w:t>
      </w:r>
      <w:r w:rsidRPr="00AF1071">
        <w:rPr>
          <w:rFonts w:asciiTheme="minorHAnsi" w:hAnsiTheme="minorHAnsi"/>
          <w:szCs w:val="24"/>
          <w:lang w:val="es-MX"/>
        </w:rPr>
        <w:tab/>
        <w:t xml:space="preserve">Semana </w:t>
      </w:r>
      <w:r w:rsidR="00727B0F" w:rsidRPr="00AF1071">
        <w:rPr>
          <w:rFonts w:asciiTheme="minorHAnsi" w:hAnsiTheme="minorHAnsi"/>
          <w:szCs w:val="24"/>
          <w:lang w:val="es-MX"/>
        </w:rPr>
        <w:t xml:space="preserve">7 </w:t>
      </w:r>
      <w:r w:rsidR="00727B0F" w:rsidRPr="00AF1071">
        <w:rPr>
          <w:rFonts w:asciiTheme="minorHAnsi" w:hAnsiTheme="minorHAnsi"/>
          <w:szCs w:val="24"/>
          <w:lang w:val="es-MX"/>
        </w:rPr>
        <w:tab/>
        <w:t>(2</w:t>
      </w:r>
      <w:r w:rsidRPr="00AF1071">
        <w:rPr>
          <w:rFonts w:asciiTheme="minorHAnsi" w:hAnsiTheme="minorHAnsi"/>
          <w:szCs w:val="24"/>
          <w:lang w:val="es-MX"/>
        </w:rPr>
        <w:t>1-</w:t>
      </w:r>
      <w:r w:rsidR="00727B0F" w:rsidRPr="00AF1071">
        <w:rPr>
          <w:rFonts w:asciiTheme="minorHAnsi" w:hAnsiTheme="minorHAnsi"/>
          <w:szCs w:val="24"/>
          <w:lang w:val="es-MX"/>
        </w:rPr>
        <w:t>Abril</w:t>
      </w:r>
      <w:r w:rsidRPr="00AF1071">
        <w:rPr>
          <w:rFonts w:asciiTheme="minorHAnsi" w:hAnsiTheme="minorHAnsi"/>
          <w:szCs w:val="24"/>
          <w:lang w:val="es-MX"/>
        </w:rPr>
        <w:t>-2009)</w:t>
      </w:r>
    </w:p>
    <w:p w:rsidR="00667687" w:rsidRPr="00AF1071" w:rsidRDefault="00667687" w:rsidP="00667687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667687" w:rsidP="00667687">
      <w:pPr>
        <w:rPr>
          <w:rFonts w:asciiTheme="minorHAnsi" w:hAnsiTheme="minorHAnsi"/>
          <w:b/>
          <w:szCs w:val="24"/>
          <w:lang w:val="es-MX"/>
        </w:rPr>
      </w:pPr>
      <w:r w:rsidRPr="00AF1071">
        <w:rPr>
          <w:rFonts w:asciiTheme="minorHAnsi" w:hAnsiTheme="minorHAnsi"/>
          <w:b/>
          <w:szCs w:val="24"/>
          <w:lang w:val="es-MX"/>
        </w:rPr>
        <w:t>Objetivos:</w:t>
      </w:r>
    </w:p>
    <w:p w:rsidR="00AF1071" w:rsidRDefault="00AF1071" w:rsidP="00727B0F">
      <w:pPr>
        <w:rPr>
          <w:rFonts w:asciiTheme="minorHAnsi" w:hAnsiTheme="minorHAnsi"/>
          <w:szCs w:val="24"/>
          <w:lang w:val="es-MX"/>
        </w:rPr>
      </w:pPr>
      <w:r>
        <w:rPr>
          <w:rFonts w:asciiTheme="minorHAnsi" w:hAnsiTheme="minorHAnsi"/>
          <w:szCs w:val="24"/>
          <w:lang w:val="es-MX"/>
        </w:rPr>
        <w:t>-</w:t>
      </w:r>
      <w:r>
        <w:rPr>
          <w:rFonts w:asciiTheme="minorHAnsi" w:hAnsiTheme="minorHAnsi"/>
          <w:szCs w:val="24"/>
          <w:lang w:val="es-MX"/>
        </w:rPr>
        <w:tab/>
        <w:t>Determinar curva tonelaje ley del yacimiento</w:t>
      </w:r>
    </w:p>
    <w:p w:rsidR="00AF1071" w:rsidRDefault="00AF1071" w:rsidP="00727B0F">
      <w:pPr>
        <w:rPr>
          <w:rFonts w:asciiTheme="minorHAnsi" w:hAnsiTheme="minorHAnsi"/>
          <w:szCs w:val="24"/>
          <w:lang w:val="es-MX"/>
        </w:rPr>
      </w:pPr>
      <w:r>
        <w:rPr>
          <w:rFonts w:asciiTheme="minorHAnsi" w:hAnsiTheme="minorHAnsi"/>
          <w:szCs w:val="24"/>
          <w:lang w:val="es-MX"/>
        </w:rPr>
        <w:t>-</w:t>
      </w:r>
      <w:r>
        <w:rPr>
          <w:rFonts w:asciiTheme="minorHAnsi" w:hAnsiTheme="minorHAnsi"/>
          <w:szCs w:val="24"/>
          <w:lang w:val="es-MX"/>
        </w:rPr>
        <w:tab/>
        <w:t>Calcular Leyes de Corte</w:t>
      </w:r>
    </w:p>
    <w:p w:rsidR="00727B0F" w:rsidRPr="00AF1071" w:rsidRDefault="00727B0F" w:rsidP="00727B0F">
      <w:pPr>
        <w:rPr>
          <w:rFonts w:asciiTheme="minorHAnsi" w:hAnsiTheme="minorHAnsi"/>
          <w:szCs w:val="24"/>
          <w:lang w:val="es-MX"/>
        </w:rPr>
      </w:pPr>
      <w:r w:rsidRPr="00AF1071">
        <w:rPr>
          <w:rFonts w:asciiTheme="minorHAnsi" w:hAnsiTheme="minorHAnsi"/>
          <w:szCs w:val="24"/>
          <w:lang w:val="es-MX"/>
        </w:rPr>
        <w:t>-</w:t>
      </w:r>
      <w:r w:rsidRPr="00AF1071">
        <w:rPr>
          <w:rFonts w:asciiTheme="minorHAnsi" w:hAnsiTheme="minorHAnsi"/>
          <w:szCs w:val="24"/>
          <w:lang w:val="es-MX"/>
        </w:rPr>
        <w:tab/>
        <w:t>Determinar la envolvente económica del yacimiento.</w:t>
      </w:r>
      <w:r w:rsidR="00504519" w:rsidRPr="00AF1071">
        <w:rPr>
          <w:rFonts w:asciiTheme="minorHAnsi" w:hAnsiTheme="minorHAnsi"/>
          <w:szCs w:val="24"/>
          <w:lang w:val="es-MX"/>
        </w:rPr>
        <w:t xml:space="preserve"> </w:t>
      </w:r>
      <w:r w:rsidR="00504519" w:rsidRPr="00AF1071">
        <w:rPr>
          <w:rFonts w:asciiTheme="minorHAnsi" w:hAnsiTheme="minorHAnsi"/>
          <w:szCs w:val="24"/>
          <w:lang w:val="es-MX"/>
        </w:rPr>
        <w:tab/>
      </w:r>
    </w:p>
    <w:p w:rsidR="00667687" w:rsidRDefault="00667687">
      <w:pPr>
        <w:rPr>
          <w:rFonts w:asciiTheme="minorHAnsi" w:hAnsiTheme="minorHAnsi"/>
          <w:szCs w:val="24"/>
          <w:lang w:val="es-MX"/>
        </w:rPr>
      </w:pPr>
    </w:p>
    <w:p w:rsidR="00667687" w:rsidRPr="00AF1071" w:rsidRDefault="00C576EE">
      <w:pPr>
        <w:rPr>
          <w:rFonts w:asciiTheme="minorHAnsi" w:hAnsiTheme="minorHAnsi"/>
          <w:b/>
          <w:szCs w:val="24"/>
        </w:rPr>
      </w:pPr>
      <w:r w:rsidRPr="00AF1071">
        <w:rPr>
          <w:rFonts w:asciiTheme="minorHAnsi" w:hAnsiTheme="minorHAnsi"/>
          <w:b/>
          <w:szCs w:val="24"/>
        </w:rPr>
        <w:t>Actividades:</w:t>
      </w:r>
    </w:p>
    <w:p w:rsidR="00C10453" w:rsidRPr="00AF1071" w:rsidRDefault="00C10453" w:rsidP="00727B0F">
      <w:pPr>
        <w:rPr>
          <w:rFonts w:asciiTheme="minorHAnsi" w:hAnsiTheme="minorHAnsi"/>
          <w:szCs w:val="24"/>
        </w:rPr>
      </w:pPr>
    </w:p>
    <w:p w:rsidR="00AF1071" w:rsidRDefault="00AF1071" w:rsidP="00AF1071">
      <w:pPr>
        <w:pStyle w:val="Prrafodelista"/>
        <w:numPr>
          <w:ilvl w:val="0"/>
          <w:numId w:val="7"/>
        </w:numPr>
        <w:jc w:val="both"/>
        <w:rPr>
          <w:rFonts w:asciiTheme="minorHAnsi" w:hAnsiTheme="minorHAnsi" w:cs="Arial"/>
          <w:sz w:val="24"/>
          <w:szCs w:val="24"/>
        </w:rPr>
      </w:pPr>
      <w:r w:rsidRPr="00AF1071">
        <w:rPr>
          <w:rFonts w:asciiTheme="minorHAnsi" w:hAnsiTheme="minorHAnsi" w:cs="Arial"/>
          <w:sz w:val="24"/>
          <w:szCs w:val="24"/>
        </w:rPr>
        <w:t>Realizar cálculo de curva de tonelaje ley tomando intervalos para la ley de corte de 0.1%, especificando en una tabla:</w:t>
      </w:r>
    </w:p>
    <w:p w:rsidR="00AF1071" w:rsidRDefault="00AF1071" w:rsidP="00AF1071">
      <w:pPr>
        <w:pStyle w:val="Prrafodelista"/>
        <w:jc w:val="both"/>
        <w:rPr>
          <w:rFonts w:asciiTheme="minorHAnsi" w:hAnsiTheme="minorHAnsi" w:cs="Arial"/>
          <w:sz w:val="24"/>
          <w:szCs w:val="24"/>
        </w:rPr>
      </w:pPr>
    </w:p>
    <w:p w:rsidR="00AF1071" w:rsidRPr="00AF1071" w:rsidRDefault="00AF1071" w:rsidP="00AF1071">
      <w:pPr>
        <w:pStyle w:val="Prrafodelista"/>
        <w:numPr>
          <w:ilvl w:val="0"/>
          <w:numId w:val="8"/>
        </w:numPr>
        <w:jc w:val="both"/>
        <w:rPr>
          <w:rFonts w:asciiTheme="minorHAnsi" w:hAnsiTheme="minorHAnsi" w:cs="Arial"/>
          <w:sz w:val="24"/>
          <w:szCs w:val="24"/>
        </w:rPr>
      </w:pPr>
      <w:proofErr w:type="spellStart"/>
      <w:r w:rsidRPr="00AF1071">
        <w:rPr>
          <w:rFonts w:asciiTheme="minorHAnsi" w:hAnsiTheme="minorHAnsi" w:cs="Arial"/>
          <w:sz w:val="24"/>
          <w:szCs w:val="24"/>
        </w:rPr>
        <w:t>Lc</w:t>
      </w:r>
      <w:proofErr w:type="spellEnd"/>
      <w:r w:rsidRPr="00AF1071">
        <w:rPr>
          <w:rFonts w:asciiTheme="minorHAnsi" w:hAnsiTheme="minorHAnsi" w:cs="Arial"/>
          <w:sz w:val="24"/>
          <w:szCs w:val="24"/>
        </w:rPr>
        <w:t xml:space="preserve"> (ley de corte).</w:t>
      </w:r>
    </w:p>
    <w:p w:rsidR="00AF1071" w:rsidRPr="00AF1071" w:rsidRDefault="00AF1071" w:rsidP="00AF1071">
      <w:pPr>
        <w:pStyle w:val="Prrafodelista"/>
        <w:numPr>
          <w:ilvl w:val="0"/>
          <w:numId w:val="8"/>
        </w:numPr>
        <w:jc w:val="both"/>
        <w:rPr>
          <w:rFonts w:asciiTheme="minorHAnsi" w:hAnsiTheme="minorHAnsi" w:cs="Arial"/>
          <w:sz w:val="24"/>
          <w:szCs w:val="24"/>
        </w:rPr>
      </w:pPr>
      <w:r w:rsidRPr="00AF1071">
        <w:rPr>
          <w:rFonts w:asciiTheme="minorHAnsi" w:hAnsiTheme="minorHAnsi" w:cs="Arial"/>
          <w:sz w:val="24"/>
          <w:szCs w:val="24"/>
        </w:rPr>
        <w:t>Lm (ley  media asociada).</w:t>
      </w:r>
    </w:p>
    <w:p w:rsidR="00AF1071" w:rsidRPr="00AF1071" w:rsidRDefault="00AF1071" w:rsidP="00AF1071">
      <w:pPr>
        <w:pStyle w:val="Prrafodelista"/>
        <w:numPr>
          <w:ilvl w:val="0"/>
          <w:numId w:val="8"/>
        </w:numPr>
        <w:jc w:val="both"/>
        <w:rPr>
          <w:rFonts w:asciiTheme="minorHAnsi" w:hAnsiTheme="minorHAnsi" w:cs="Arial"/>
          <w:sz w:val="24"/>
          <w:szCs w:val="24"/>
        </w:rPr>
      </w:pPr>
      <w:proofErr w:type="spellStart"/>
      <w:r w:rsidRPr="00AF1071">
        <w:rPr>
          <w:rFonts w:asciiTheme="minorHAnsi" w:hAnsiTheme="minorHAnsi" w:cs="Arial"/>
          <w:sz w:val="24"/>
          <w:szCs w:val="24"/>
        </w:rPr>
        <w:t>TTot</w:t>
      </w:r>
      <w:proofErr w:type="spellEnd"/>
      <w:r w:rsidRPr="00AF1071">
        <w:rPr>
          <w:rFonts w:asciiTheme="minorHAnsi" w:hAnsiTheme="minorHAnsi" w:cs="Arial"/>
          <w:sz w:val="24"/>
          <w:szCs w:val="24"/>
        </w:rPr>
        <w:t xml:space="preserve"> (tonelaje total asociado).</w:t>
      </w:r>
    </w:p>
    <w:p w:rsidR="00AF1071" w:rsidRPr="00AF1071" w:rsidRDefault="00AF1071" w:rsidP="00AF1071">
      <w:pPr>
        <w:pStyle w:val="Prrafodelista"/>
        <w:numPr>
          <w:ilvl w:val="0"/>
          <w:numId w:val="8"/>
        </w:numPr>
        <w:jc w:val="both"/>
        <w:rPr>
          <w:rFonts w:asciiTheme="minorHAnsi" w:hAnsiTheme="minorHAnsi" w:cs="Arial"/>
          <w:sz w:val="24"/>
          <w:szCs w:val="24"/>
        </w:rPr>
      </w:pPr>
      <w:proofErr w:type="spellStart"/>
      <w:r w:rsidRPr="00AF1071">
        <w:rPr>
          <w:rFonts w:asciiTheme="minorHAnsi" w:hAnsiTheme="minorHAnsi" w:cs="Arial"/>
          <w:sz w:val="24"/>
          <w:szCs w:val="24"/>
        </w:rPr>
        <w:t>TFinos</w:t>
      </w:r>
      <w:proofErr w:type="spellEnd"/>
      <w:r w:rsidRPr="00AF1071">
        <w:rPr>
          <w:rFonts w:asciiTheme="minorHAnsi" w:hAnsiTheme="minorHAnsi" w:cs="Arial"/>
          <w:sz w:val="24"/>
          <w:szCs w:val="24"/>
        </w:rPr>
        <w:t xml:space="preserve"> (</w:t>
      </w:r>
      <w:proofErr w:type="gramStart"/>
      <w:r w:rsidRPr="00AF1071">
        <w:rPr>
          <w:rFonts w:asciiTheme="minorHAnsi" w:hAnsiTheme="minorHAnsi" w:cs="Arial"/>
          <w:sz w:val="24"/>
          <w:szCs w:val="24"/>
        </w:rPr>
        <w:t>tonelaje total finos</w:t>
      </w:r>
      <w:proofErr w:type="gramEnd"/>
      <w:r w:rsidRPr="00AF1071">
        <w:rPr>
          <w:rFonts w:asciiTheme="minorHAnsi" w:hAnsiTheme="minorHAnsi" w:cs="Arial"/>
          <w:sz w:val="24"/>
          <w:szCs w:val="24"/>
        </w:rPr>
        <w:t>).</w:t>
      </w:r>
    </w:p>
    <w:p w:rsidR="00AF1071" w:rsidRPr="00AF1071" w:rsidRDefault="00AF1071" w:rsidP="00AF1071">
      <w:pPr>
        <w:pStyle w:val="Prrafodelista"/>
        <w:jc w:val="both"/>
        <w:rPr>
          <w:rFonts w:asciiTheme="minorHAnsi" w:hAnsiTheme="minorHAnsi" w:cs="Arial"/>
          <w:sz w:val="24"/>
          <w:szCs w:val="24"/>
        </w:rPr>
      </w:pPr>
    </w:p>
    <w:p w:rsidR="00AF1071" w:rsidRPr="00AF1071" w:rsidRDefault="00AF1071" w:rsidP="00AF1071">
      <w:pPr>
        <w:pStyle w:val="Prrafodelista"/>
        <w:ind w:firstLine="696"/>
        <w:jc w:val="both"/>
        <w:rPr>
          <w:rFonts w:asciiTheme="minorHAnsi" w:hAnsiTheme="minorHAnsi" w:cs="Arial"/>
          <w:sz w:val="24"/>
          <w:szCs w:val="24"/>
        </w:rPr>
      </w:pPr>
      <w:r w:rsidRPr="00AF1071">
        <w:rPr>
          <w:rFonts w:asciiTheme="minorHAnsi" w:hAnsiTheme="minorHAnsi" w:cs="Arial"/>
          <w:sz w:val="24"/>
          <w:szCs w:val="24"/>
        </w:rPr>
        <w:t>Además adjuntar a esta tabla dos gráficos uno para el tonelaje total y otro para el tonelaje de finos como se muestra en el ejemplo (ver figura 1).</w:t>
      </w:r>
    </w:p>
    <w:p w:rsidR="00AF1071" w:rsidRPr="00AF1071" w:rsidRDefault="00AF1071" w:rsidP="00AF1071">
      <w:pPr>
        <w:pStyle w:val="Prrafodelista"/>
        <w:ind w:firstLine="696"/>
        <w:jc w:val="both"/>
        <w:rPr>
          <w:rFonts w:asciiTheme="minorHAnsi" w:hAnsiTheme="minorHAnsi" w:cs="Arial"/>
          <w:sz w:val="24"/>
          <w:szCs w:val="24"/>
        </w:rPr>
      </w:pPr>
    </w:p>
    <w:p w:rsidR="00AF1071" w:rsidRPr="00AF1071" w:rsidRDefault="00AF1071" w:rsidP="00AF1071">
      <w:pPr>
        <w:pStyle w:val="Prrafodelista"/>
        <w:jc w:val="center"/>
        <w:rPr>
          <w:rFonts w:asciiTheme="minorHAnsi" w:hAnsiTheme="minorHAnsi" w:cs="Arial"/>
          <w:sz w:val="24"/>
          <w:szCs w:val="24"/>
        </w:rPr>
      </w:pPr>
      <w:r w:rsidRPr="00AF1071">
        <w:rPr>
          <w:rFonts w:asciiTheme="minorHAnsi" w:hAnsiTheme="minorHAnsi" w:cs="Arial"/>
          <w:noProof/>
          <w:sz w:val="24"/>
          <w:szCs w:val="24"/>
          <w:lang w:eastAsia="es-CL"/>
        </w:rPr>
        <w:lastRenderedPageBreak/>
        <w:drawing>
          <wp:inline distT="0" distB="0" distL="0" distR="0">
            <wp:extent cx="3590925" cy="2543175"/>
            <wp:effectExtent l="19050" t="0" r="9525" b="0"/>
            <wp:docPr id="1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3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543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071" w:rsidRPr="00AF1071" w:rsidRDefault="00AF1071" w:rsidP="00AF1071">
      <w:pPr>
        <w:pStyle w:val="Prrafodelista"/>
        <w:jc w:val="center"/>
        <w:rPr>
          <w:rFonts w:asciiTheme="minorHAnsi" w:hAnsiTheme="minorHAnsi" w:cs="Arial"/>
          <w:i/>
          <w:sz w:val="24"/>
          <w:szCs w:val="24"/>
        </w:rPr>
      </w:pPr>
      <w:r w:rsidRPr="00AF1071">
        <w:rPr>
          <w:rFonts w:asciiTheme="minorHAnsi" w:hAnsiTheme="minorHAnsi" w:cs="Arial"/>
          <w:i/>
          <w:sz w:val="24"/>
          <w:szCs w:val="24"/>
        </w:rPr>
        <w:t>Figura 1: Ejemplo de gráfico requerido.</w:t>
      </w:r>
    </w:p>
    <w:p w:rsidR="00AF1071" w:rsidRDefault="00AF1071" w:rsidP="00AF1071">
      <w:pPr>
        <w:pStyle w:val="Prrafodelista"/>
        <w:jc w:val="both"/>
        <w:rPr>
          <w:rFonts w:asciiTheme="minorHAnsi" w:hAnsiTheme="minorHAnsi" w:cs="Arial"/>
          <w:sz w:val="24"/>
          <w:szCs w:val="24"/>
        </w:rPr>
      </w:pPr>
    </w:p>
    <w:p w:rsidR="00AF1071" w:rsidRPr="00AF1071" w:rsidRDefault="00AF1071" w:rsidP="00AF1071">
      <w:pPr>
        <w:pStyle w:val="Prrafodelista"/>
        <w:jc w:val="both"/>
        <w:rPr>
          <w:rFonts w:asciiTheme="minorHAnsi" w:hAnsiTheme="minorHAnsi" w:cs="Arial"/>
          <w:sz w:val="24"/>
          <w:szCs w:val="24"/>
        </w:rPr>
      </w:pPr>
    </w:p>
    <w:p w:rsidR="00AF1071" w:rsidRDefault="00AF1071" w:rsidP="00AF1071">
      <w:pPr>
        <w:pStyle w:val="Prrafodelista"/>
        <w:numPr>
          <w:ilvl w:val="0"/>
          <w:numId w:val="7"/>
        </w:numPr>
        <w:jc w:val="both"/>
        <w:rPr>
          <w:rFonts w:asciiTheme="minorHAnsi" w:hAnsiTheme="minorHAnsi" w:cs="Arial"/>
          <w:sz w:val="24"/>
          <w:szCs w:val="24"/>
        </w:rPr>
      </w:pPr>
      <w:r w:rsidRPr="00AF1071">
        <w:rPr>
          <w:rFonts w:asciiTheme="minorHAnsi" w:hAnsiTheme="minorHAnsi" w:cs="Arial"/>
          <w:sz w:val="24"/>
          <w:szCs w:val="24"/>
        </w:rPr>
        <w:t>Calcular  la ley de corte crítica y su tonelaje de mineral asociado para los distintos métodos de explotación subterránea, con  los siguientes parámetros asociados.</w:t>
      </w:r>
    </w:p>
    <w:p w:rsidR="00AF1071" w:rsidRDefault="00AF1071" w:rsidP="00AF1071">
      <w:pPr>
        <w:jc w:val="center"/>
        <w:rPr>
          <w:rFonts w:asciiTheme="minorHAnsi" w:hAnsiTheme="minorHAnsi" w:cs="Arial"/>
          <w:szCs w:val="24"/>
          <w:lang w:val="es-CL"/>
        </w:rPr>
      </w:pPr>
    </w:p>
    <w:p w:rsidR="00AF1071" w:rsidRPr="00AF1071" w:rsidRDefault="00AF1071" w:rsidP="00AF1071">
      <w:pPr>
        <w:jc w:val="center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noProof/>
          <w:szCs w:val="24"/>
          <w:lang w:val="es-CL" w:eastAsia="es-CL"/>
        </w:rPr>
        <w:drawing>
          <wp:inline distT="0" distB="0" distL="0" distR="0">
            <wp:extent cx="2952750" cy="752475"/>
            <wp:effectExtent l="19050" t="0" r="0" b="0"/>
            <wp:docPr id="3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0" cy="7524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071" w:rsidRDefault="00AF1071" w:rsidP="00AF1071">
      <w:pPr>
        <w:jc w:val="center"/>
        <w:rPr>
          <w:rFonts w:asciiTheme="minorHAnsi" w:hAnsiTheme="minorHAnsi" w:cs="Arial"/>
          <w:i/>
          <w:szCs w:val="24"/>
        </w:rPr>
      </w:pPr>
      <w:r w:rsidRPr="00AF1071">
        <w:rPr>
          <w:rFonts w:asciiTheme="minorHAnsi" w:hAnsiTheme="minorHAnsi" w:cs="Arial"/>
          <w:i/>
          <w:szCs w:val="24"/>
        </w:rPr>
        <w:t>Tabla 1: Parámetros comunes para todos los métodos.</w:t>
      </w:r>
    </w:p>
    <w:p w:rsidR="00AF1071" w:rsidRPr="00AF1071" w:rsidRDefault="00AF1071" w:rsidP="00AF1071">
      <w:pPr>
        <w:jc w:val="center"/>
        <w:rPr>
          <w:rFonts w:asciiTheme="minorHAnsi" w:hAnsiTheme="minorHAnsi" w:cs="Arial"/>
          <w:i/>
          <w:szCs w:val="24"/>
        </w:rPr>
      </w:pPr>
    </w:p>
    <w:p w:rsidR="00AF1071" w:rsidRPr="00AF1071" w:rsidRDefault="00AF1071" w:rsidP="00AF1071">
      <w:pPr>
        <w:ind w:left="360"/>
        <w:jc w:val="center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noProof/>
          <w:szCs w:val="24"/>
          <w:lang w:val="es-CL" w:eastAsia="es-CL"/>
        </w:rPr>
        <w:drawing>
          <wp:inline distT="0" distB="0" distL="0" distR="0">
            <wp:extent cx="3810000" cy="1371600"/>
            <wp:effectExtent l="19050" t="0" r="0" b="0"/>
            <wp:docPr id="4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371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071" w:rsidRPr="00AF1071" w:rsidRDefault="00AF1071" w:rsidP="00AF1071">
      <w:pPr>
        <w:ind w:left="360"/>
        <w:jc w:val="center"/>
        <w:rPr>
          <w:rFonts w:asciiTheme="minorHAnsi" w:hAnsiTheme="minorHAnsi" w:cs="Arial"/>
          <w:i/>
          <w:szCs w:val="24"/>
        </w:rPr>
      </w:pPr>
      <w:r w:rsidRPr="00AF1071">
        <w:rPr>
          <w:rFonts w:asciiTheme="minorHAnsi" w:hAnsiTheme="minorHAnsi" w:cs="Arial"/>
          <w:i/>
          <w:szCs w:val="24"/>
        </w:rPr>
        <w:t>Tabla 2: Parámetros asociados a cada método.</w:t>
      </w:r>
    </w:p>
    <w:p w:rsidR="00AF1071" w:rsidRPr="00AF1071" w:rsidRDefault="00AF1071" w:rsidP="00727B0F">
      <w:pPr>
        <w:rPr>
          <w:rFonts w:asciiTheme="minorHAnsi" w:hAnsiTheme="minorHAnsi"/>
          <w:szCs w:val="24"/>
        </w:rPr>
      </w:pPr>
    </w:p>
    <w:p w:rsidR="00937A9C" w:rsidRDefault="00937A9C">
      <w:pPr>
        <w:rPr>
          <w:rFonts w:asciiTheme="minorHAnsi" w:hAnsiTheme="minorHAnsi"/>
          <w:szCs w:val="24"/>
        </w:rPr>
      </w:pPr>
    </w:p>
    <w:p w:rsidR="00AF1071" w:rsidRDefault="00AF1071" w:rsidP="00AF1071">
      <w:pPr>
        <w:pStyle w:val="Prrafodelista"/>
        <w:numPr>
          <w:ilvl w:val="0"/>
          <w:numId w:val="7"/>
        </w:numPr>
        <w:jc w:val="both"/>
        <w:rPr>
          <w:rFonts w:asciiTheme="minorHAnsi" w:hAnsiTheme="minorHAnsi" w:cs="Arial"/>
          <w:sz w:val="24"/>
          <w:szCs w:val="24"/>
        </w:rPr>
      </w:pPr>
      <w:r>
        <w:rPr>
          <w:rFonts w:asciiTheme="minorHAnsi" w:hAnsiTheme="minorHAnsi" w:cs="Arial"/>
          <w:sz w:val="24"/>
          <w:szCs w:val="24"/>
        </w:rPr>
        <w:t xml:space="preserve">Una vez definida la Ley de Corte Crítica y sabiendo que se utilizará el método de Panel </w:t>
      </w:r>
      <w:proofErr w:type="spellStart"/>
      <w:r>
        <w:rPr>
          <w:rFonts w:asciiTheme="minorHAnsi" w:hAnsiTheme="minorHAnsi" w:cs="Arial"/>
          <w:sz w:val="24"/>
          <w:szCs w:val="24"/>
        </w:rPr>
        <w:t>Caving</w:t>
      </w:r>
      <w:proofErr w:type="spellEnd"/>
      <w:r>
        <w:rPr>
          <w:rFonts w:asciiTheme="minorHAnsi" w:hAnsiTheme="minorHAnsi" w:cs="Arial"/>
          <w:sz w:val="24"/>
          <w:szCs w:val="24"/>
        </w:rPr>
        <w:t>. Definir la Envolvente Económica</w:t>
      </w:r>
      <w:r w:rsidR="007D1023">
        <w:rPr>
          <w:rFonts w:asciiTheme="minorHAnsi" w:hAnsiTheme="minorHAnsi" w:cs="Arial"/>
          <w:sz w:val="24"/>
          <w:szCs w:val="24"/>
        </w:rPr>
        <w:t xml:space="preserve"> del Proyecto</w:t>
      </w:r>
      <w:r>
        <w:rPr>
          <w:rFonts w:asciiTheme="minorHAnsi" w:hAnsiTheme="minorHAnsi" w:cs="Arial"/>
          <w:sz w:val="24"/>
          <w:szCs w:val="24"/>
        </w:rPr>
        <w:t>.</w:t>
      </w:r>
    </w:p>
    <w:p w:rsidR="00AF1071" w:rsidRDefault="00AF1071" w:rsidP="007D1023">
      <w:pPr>
        <w:ind w:left="708" w:firstLine="12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Para definir la envolvente económica se recomienda</w:t>
      </w:r>
      <w:r w:rsidR="007D1023">
        <w:rPr>
          <w:rFonts w:asciiTheme="minorHAnsi" w:hAnsiTheme="minorHAnsi" w:cs="Arial"/>
          <w:szCs w:val="24"/>
        </w:rPr>
        <w:t xml:space="preserve"> considerar los siguientes aspectos</w:t>
      </w:r>
      <w:r>
        <w:rPr>
          <w:rFonts w:asciiTheme="minorHAnsi" w:hAnsiTheme="minorHAnsi" w:cs="Arial"/>
          <w:szCs w:val="24"/>
        </w:rPr>
        <w:t>:</w:t>
      </w:r>
    </w:p>
    <w:p w:rsidR="00AF1071" w:rsidRDefault="00AF1071" w:rsidP="00AF1071">
      <w:pPr>
        <w:ind w:left="708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lastRenderedPageBreak/>
        <w:t xml:space="preserve">1.- </w:t>
      </w:r>
      <w:r w:rsidR="007D1023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>Hacer una valorización</w:t>
      </w:r>
      <w:r w:rsidR="007D1023">
        <w:rPr>
          <w:rFonts w:asciiTheme="minorHAnsi" w:hAnsiTheme="minorHAnsi" w:cs="Arial"/>
          <w:szCs w:val="24"/>
        </w:rPr>
        <w:t xml:space="preserve"> económica</w:t>
      </w:r>
      <w:r>
        <w:rPr>
          <w:rFonts w:asciiTheme="minorHAnsi" w:hAnsiTheme="minorHAnsi" w:cs="Arial"/>
          <w:szCs w:val="24"/>
        </w:rPr>
        <w:t xml:space="preserve"> de cada uno de los bloques del modelo de recursos.</w:t>
      </w:r>
    </w:p>
    <w:p w:rsidR="00AF1071" w:rsidRDefault="00AF1071" w:rsidP="00AF1071">
      <w:pPr>
        <w:ind w:left="708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2.-</w:t>
      </w:r>
      <w:r w:rsidR="007D1023">
        <w:rPr>
          <w:rFonts w:asciiTheme="minorHAnsi" w:hAnsiTheme="minorHAnsi" w:cs="Arial"/>
          <w:szCs w:val="24"/>
        </w:rPr>
        <w:t xml:space="preserve"> </w:t>
      </w:r>
      <w:r>
        <w:rPr>
          <w:rFonts w:asciiTheme="minorHAnsi" w:hAnsiTheme="minorHAnsi" w:cs="Arial"/>
          <w:szCs w:val="24"/>
        </w:rPr>
        <w:t xml:space="preserve"> </w:t>
      </w:r>
      <w:r w:rsidR="007D1023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>Definir que será mineral y estéril.</w:t>
      </w:r>
    </w:p>
    <w:p w:rsidR="00AF1071" w:rsidRPr="00AF1071" w:rsidRDefault="00AF1071" w:rsidP="00AF1071">
      <w:pPr>
        <w:ind w:left="708"/>
        <w:jc w:val="both"/>
        <w:rPr>
          <w:rFonts w:asciiTheme="minorHAnsi" w:hAnsiTheme="minorHAnsi" w:cs="Arial"/>
          <w:szCs w:val="24"/>
        </w:rPr>
      </w:pPr>
      <w:r>
        <w:rPr>
          <w:rFonts w:asciiTheme="minorHAnsi" w:hAnsiTheme="minorHAnsi" w:cs="Arial"/>
          <w:szCs w:val="24"/>
        </w:rPr>
        <w:t>3.-</w:t>
      </w:r>
      <w:r w:rsidR="007D1023">
        <w:rPr>
          <w:rFonts w:asciiTheme="minorHAnsi" w:hAnsiTheme="minorHAnsi" w:cs="Arial"/>
          <w:szCs w:val="24"/>
        </w:rPr>
        <w:t xml:space="preserve"> </w:t>
      </w:r>
      <w:r w:rsidR="007D1023">
        <w:rPr>
          <w:rFonts w:asciiTheme="minorHAnsi" w:hAnsiTheme="minorHAnsi" w:cs="Arial"/>
          <w:szCs w:val="24"/>
        </w:rPr>
        <w:tab/>
      </w:r>
      <w:r>
        <w:rPr>
          <w:rFonts w:asciiTheme="minorHAnsi" w:hAnsiTheme="minorHAnsi" w:cs="Arial"/>
          <w:szCs w:val="24"/>
        </w:rPr>
        <w:t xml:space="preserve">Por consideraciones </w:t>
      </w:r>
      <w:proofErr w:type="spellStart"/>
      <w:r>
        <w:rPr>
          <w:rFonts w:asciiTheme="minorHAnsi" w:hAnsiTheme="minorHAnsi" w:cs="Arial"/>
          <w:szCs w:val="24"/>
        </w:rPr>
        <w:t>Geomécanica</w:t>
      </w:r>
      <w:proofErr w:type="spellEnd"/>
      <w:r>
        <w:rPr>
          <w:rFonts w:asciiTheme="minorHAnsi" w:hAnsiTheme="minorHAnsi" w:cs="Arial"/>
          <w:szCs w:val="24"/>
        </w:rPr>
        <w:t xml:space="preserve"> no se recomienda explotar columnas de mineral sobre 400 metros. Además, para evitar una prematura entrada de dilución no se recomienda un delta altura de más de 50 metros entre columnas contiguas</w:t>
      </w:r>
    </w:p>
    <w:p w:rsidR="008B576B" w:rsidRDefault="007D1023" w:rsidP="0023459E">
      <w:pPr>
        <w:ind w:left="70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>4.-</w:t>
      </w:r>
      <w:r>
        <w:rPr>
          <w:rFonts w:asciiTheme="minorHAnsi" w:hAnsiTheme="minorHAnsi"/>
          <w:szCs w:val="24"/>
        </w:rPr>
        <w:tab/>
        <w:t xml:space="preserve">Consultores externos realizaron un análisis que la Cota 1880 msnm es donde tendría que ser ubicado el Nivel de Hundimiento del NNM. </w:t>
      </w:r>
    </w:p>
    <w:p w:rsidR="007D1023" w:rsidRDefault="007D1023" w:rsidP="0023459E">
      <w:pPr>
        <w:ind w:left="705"/>
        <w:jc w:val="both"/>
        <w:rPr>
          <w:rFonts w:asciiTheme="minorHAnsi" w:hAnsiTheme="minorHAnsi"/>
          <w:szCs w:val="24"/>
        </w:rPr>
      </w:pPr>
      <w:r>
        <w:rPr>
          <w:rFonts w:asciiTheme="minorHAnsi" w:hAnsiTheme="minorHAnsi"/>
          <w:szCs w:val="24"/>
        </w:rPr>
        <w:t xml:space="preserve">(Observación: No siempre un nivel más profundo conducirá a un mejor Negocio, ya que hay que considerar los costos de desarrollo de accesos, costos de transporte de mineral, </w:t>
      </w:r>
      <w:proofErr w:type="spellStart"/>
      <w:r>
        <w:rPr>
          <w:rFonts w:asciiTheme="minorHAnsi" w:hAnsiTheme="minorHAnsi"/>
          <w:szCs w:val="24"/>
        </w:rPr>
        <w:t>etc</w:t>
      </w:r>
      <w:proofErr w:type="spellEnd"/>
      <w:r>
        <w:rPr>
          <w:rFonts w:asciiTheme="minorHAnsi" w:hAnsiTheme="minorHAnsi"/>
          <w:szCs w:val="24"/>
        </w:rPr>
        <w:t>)</w:t>
      </w:r>
    </w:p>
    <w:p w:rsidR="007D1023" w:rsidRDefault="007D1023" w:rsidP="007D1023">
      <w:pPr>
        <w:ind w:firstLine="708"/>
        <w:jc w:val="both"/>
        <w:rPr>
          <w:rFonts w:asciiTheme="minorHAnsi" w:hAnsiTheme="minorHAnsi"/>
          <w:szCs w:val="24"/>
        </w:rPr>
      </w:pPr>
    </w:p>
    <w:p w:rsidR="007D1023" w:rsidRDefault="007D1023" w:rsidP="007D1023">
      <w:pPr>
        <w:ind w:firstLine="708"/>
        <w:jc w:val="both"/>
        <w:rPr>
          <w:rFonts w:asciiTheme="minorHAnsi" w:hAnsiTheme="minorHAnsi"/>
          <w:szCs w:val="24"/>
        </w:rPr>
      </w:pPr>
    </w:p>
    <w:p w:rsidR="00504519" w:rsidRPr="007D1023" w:rsidRDefault="00504519" w:rsidP="007D1023">
      <w:pPr>
        <w:jc w:val="both"/>
        <w:rPr>
          <w:rFonts w:asciiTheme="minorHAnsi" w:hAnsiTheme="minorHAnsi"/>
          <w:b/>
          <w:szCs w:val="24"/>
        </w:rPr>
      </w:pPr>
      <w:r w:rsidRPr="007D1023">
        <w:rPr>
          <w:rFonts w:asciiTheme="minorHAnsi" w:hAnsiTheme="minorHAnsi"/>
          <w:b/>
          <w:szCs w:val="24"/>
        </w:rPr>
        <w:t>Alcances:</w:t>
      </w:r>
    </w:p>
    <w:p w:rsidR="00C10453" w:rsidRPr="00AF1071" w:rsidRDefault="000D72E2" w:rsidP="00C10453">
      <w:pPr>
        <w:rPr>
          <w:rFonts w:asciiTheme="minorHAnsi" w:hAnsiTheme="minorHAnsi"/>
          <w:szCs w:val="24"/>
        </w:rPr>
      </w:pPr>
      <w:r w:rsidRPr="00AF1071">
        <w:rPr>
          <w:rFonts w:asciiTheme="minorHAnsi" w:hAnsiTheme="minorHAnsi"/>
          <w:szCs w:val="24"/>
        </w:rPr>
        <w:t>-</w:t>
      </w:r>
      <w:r w:rsidRPr="00AF1071">
        <w:rPr>
          <w:rFonts w:asciiTheme="minorHAnsi" w:hAnsiTheme="minorHAnsi"/>
          <w:szCs w:val="24"/>
        </w:rPr>
        <w:tab/>
      </w:r>
      <w:r w:rsidR="00504519" w:rsidRPr="00AF1071">
        <w:rPr>
          <w:rFonts w:asciiTheme="minorHAnsi" w:hAnsiTheme="minorHAnsi"/>
          <w:szCs w:val="24"/>
        </w:rPr>
        <w:t>Cada grupo debe presentar un i</w:t>
      </w:r>
      <w:r w:rsidR="00C10453" w:rsidRPr="00AF1071">
        <w:rPr>
          <w:rFonts w:asciiTheme="minorHAnsi" w:hAnsiTheme="minorHAnsi"/>
          <w:szCs w:val="24"/>
        </w:rPr>
        <w:t xml:space="preserve">nforme </w:t>
      </w:r>
      <w:r w:rsidR="00504519" w:rsidRPr="00AF1071">
        <w:rPr>
          <w:rFonts w:asciiTheme="minorHAnsi" w:hAnsiTheme="minorHAnsi"/>
          <w:szCs w:val="24"/>
        </w:rPr>
        <w:t xml:space="preserve">escrito </w:t>
      </w:r>
      <w:r w:rsidRPr="00AF1071">
        <w:rPr>
          <w:rFonts w:asciiTheme="minorHAnsi" w:hAnsiTheme="minorHAnsi"/>
          <w:szCs w:val="24"/>
        </w:rPr>
        <w:t xml:space="preserve">martes </w:t>
      </w:r>
      <w:r w:rsidR="00727B0F" w:rsidRPr="00AF1071">
        <w:rPr>
          <w:rFonts w:asciiTheme="minorHAnsi" w:hAnsiTheme="minorHAnsi"/>
          <w:szCs w:val="24"/>
        </w:rPr>
        <w:t>2</w:t>
      </w:r>
      <w:r w:rsidRPr="00AF1071">
        <w:rPr>
          <w:rFonts w:asciiTheme="minorHAnsi" w:hAnsiTheme="minorHAnsi"/>
          <w:szCs w:val="24"/>
        </w:rPr>
        <w:t xml:space="preserve">1 de </w:t>
      </w:r>
      <w:r w:rsidR="008B576B">
        <w:rPr>
          <w:rFonts w:asciiTheme="minorHAnsi" w:hAnsiTheme="minorHAnsi"/>
          <w:szCs w:val="24"/>
        </w:rPr>
        <w:t>Abril</w:t>
      </w:r>
      <w:r w:rsidR="00504519" w:rsidRPr="00AF1071">
        <w:rPr>
          <w:rFonts w:asciiTheme="minorHAnsi" w:hAnsiTheme="minorHAnsi"/>
          <w:szCs w:val="24"/>
        </w:rPr>
        <w:t>.</w:t>
      </w:r>
      <w:r w:rsidR="008B576B">
        <w:rPr>
          <w:rFonts w:asciiTheme="minorHAnsi" w:hAnsiTheme="minorHAnsi"/>
          <w:szCs w:val="24"/>
        </w:rPr>
        <w:t xml:space="preserve"> (Además se deben enviar archivos vía mail)</w:t>
      </w:r>
    </w:p>
    <w:p w:rsidR="00C576EE" w:rsidRPr="00AF1071" w:rsidRDefault="00C576EE">
      <w:pPr>
        <w:rPr>
          <w:rFonts w:asciiTheme="minorHAnsi" w:hAnsiTheme="minorHAnsi"/>
          <w:b/>
          <w:color w:val="FF0000"/>
          <w:szCs w:val="24"/>
        </w:rPr>
      </w:pPr>
    </w:p>
    <w:p w:rsidR="00C10453" w:rsidRPr="00AF1071" w:rsidRDefault="00C10453" w:rsidP="00C10453">
      <w:pPr>
        <w:rPr>
          <w:rFonts w:asciiTheme="minorHAnsi" w:hAnsiTheme="minorHAnsi"/>
          <w:szCs w:val="24"/>
          <w:lang w:val="es-MX"/>
        </w:rPr>
      </w:pPr>
    </w:p>
    <w:p w:rsidR="00937A9C" w:rsidRPr="00AF1071" w:rsidRDefault="00937A9C" w:rsidP="007D1023">
      <w:pPr>
        <w:ind w:firstLine="708"/>
        <w:rPr>
          <w:rFonts w:asciiTheme="minorHAnsi" w:hAnsiTheme="minorHAnsi"/>
          <w:szCs w:val="24"/>
          <w:lang w:val="es-MX"/>
        </w:rPr>
      </w:pPr>
      <w:r w:rsidRPr="00AF1071">
        <w:rPr>
          <w:rFonts w:asciiTheme="minorHAnsi" w:hAnsiTheme="minorHAnsi"/>
          <w:szCs w:val="24"/>
          <w:lang w:val="es-MX"/>
        </w:rPr>
        <w:t xml:space="preserve">En caso de dudas o consultas, enviar un mail a: </w:t>
      </w:r>
      <w:hyperlink r:id="rId10" w:history="1">
        <w:r w:rsidRPr="00AF1071">
          <w:rPr>
            <w:rStyle w:val="Hipervnculo"/>
            <w:rFonts w:asciiTheme="minorHAnsi" w:hAnsiTheme="minorHAnsi"/>
            <w:szCs w:val="24"/>
            <w:lang w:val="es-MX"/>
          </w:rPr>
          <w:t>nimontec@ing.uchile.cl</w:t>
        </w:r>
      </w:hyperlink>
      <w:r w:rsidRPr="00AF1071">
        <w:rPr>
          <w:rFonts w:asciiTheme="minorHAnsi" w:hAnsiTheme="minorHAnsi"/>
          <w:szCs w:val="24"/>
        </w:rPr>
        <w:t xml:space="preserve"> o </w:t>
      </w:r>
      <w:hyperlink r:id="rId11" w:history="1">
        <w:r w:rsidRPr="00AF1071">
          <w:rPr>
            <w:rStyle w:val="Hipervnculo"/>
            <w:rFonts w:asciiTheme="minorHAnsi" w:hAnsiTheme="minorHAnsi"/>
            <w:szCs w:val="24"/>
            <w:lang w:val="es-MX"/>
          </w:rPr>
          <w:t>jacornej@ing.uchile.cl</w:t>
        </w:r>
      </w:hyperlink>
      <w:r w:rsidRPr="00AF1071">
        <w:rPr>
          <w:rFonts w:asciiTheme="minorHAnsi" w:hAnsiTheme="minorHAnsi"/>
          <w:szCs w:val="24"/>
          <w:lang w:val="es-MX"/>
        </w:rPr>
        <w:t xml:space="preserve">    </w:t>
      </w:r>
    </w:p>
    <w:p w:rsidR="00937A9C" w:rsidRDefault="00937A9C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8B576B" w:rsidRPr="00AF1071" w:rsidRDefault="008B576B" w:rsidP="00C10453">
      <w:pPr>
        <w:jc w:val="center"/>
        <w:rPr>
          <w:rFonts w:asciiTheme="minorHAnsi" w:hAnsiTheme="minorHAnsi"/>
          <w:b/>
          <w:szCs w:val="24"/>
          <w:u w:val="single"/>
          <w:lang w:val="es-MX"/>
        </w:rPr>
      </w:pPr>
    </w:p>
    <w:p w:rsidR="00AF1071" w:rsidRPr="00AF1071" w:rsidRDefault="00AF1071" w:rsidP="00AF1071">
      <w:pPr>
        <w:pStyle w:val="Ttulo1"/>
        <w:jc w:val="center"/>
        <w:rPr>
          <w:rFonts w:asciiTheme="minorHAnsi" w:hAnsiTheme="minorHAnsi" w:cs="Arial"/>
          <w:sz w:val="24"/>
          <w:szCs w:val="24"/>
        </w:rPr>
      </w:pPr>
      <w:r w:rsidRPr="00AF1071">
        <w:rPr>
          <w:rFonts w:asciiTheme="minorHAnsi" w:hAnsiTheme="minorHAnsi" w:cs="Arial"/>
          <w:sz w:val="24"/>
          <w:szCs w:val="24"/>
        </w:rPr>
        <w:lastRenderedPageBreak/>
        <w:t>Anexos</w:t>
      </w:r>
    </w:p>
    <w:p w:rsidR="00AF1071" w:rsidRPr="00AF1071" w:rsidRDefault="00AF1071" w:rsidP="00AF1071">
      <w:pPr>
        <w:pStyle w:val="Ttulo2"/>
        <w:rPr>
          <w:rFonts w:asciiTheme="minorHAnsi" w:hAnsiTheme="minorHAnsi" w:cs="Arial"/>
          <w:sz w:val="24"/>
          <w:szCs w:val="24"/>
        </w:rPr>
      </w:pPr>
      <w:r w:rsidRPr="00AF1071">
        <w:rPr>
          <w:rFonts w:asciiTheme="minorHAnsi" w:hAnsiTheme="minorHAnsi" w:cs="Arial"/>
          <w:sz w:val="24"/>
          <w:szCs w:val="24"/>
        </w:rPr>
        <w:t>Cálculo de curva tonelaje ley</w:t>
      </w:r>
    </w:p>
    <w:p w:rsidR="00AF1071" w:rsidRPr="00AF1071" w:rsidRDefault="00AF1071" w:rsidP="00AF1071">
      <w:pPr>
        <w:rPr>
          <w:rFonts w:asciiTheme="minorHAnsi" w:hAnsiTheme="minorHAnsi" w:cs="Arial"/>
          <w:szCs w:val="24"/>
        </w:rPr>
      </w:pPr>
    </w:p>
    <w:p w:rsidR="00AF1071" w:rsidRDefault="00AF1071" w:rsidP="00AF1071">
      <w:pPr>
        <w:ind w:firstLine="348"/>
        <w:jc w:val="both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szCs w:val="24"/>
        </w:rPr>
        <w:t>El cálculo de la curva de tonelaje ley es fundamental, por cuanto nos permite visualizar la distribución del tonelaje con respecto a la ley de corte que se utilice, dando la oportunidad además de obtener fácilmente la ley media de este.</w:t>
      </w:r>
    </w:p>
    <w:p w:rsidR="007D1023" w:rsidRPr="00AF1071" w:rsidRDefault="007D1023" w:rsidP="00AF1071">
      <w:pPr>
        <w:ind w:firstLine="348"/>
        <w:jc w:val="both"/>
        <w:rPr>
          <w:rFonts w:asciiTheme="minorHAnsi" w:hAnsiTheme="minorHAnsi" w:cs="Arial"/>
          <w:szCs w:val="24"/>
        </w:rPr>
      </w:pPr>
    </w:p>
    <w:p w:rsidR="00AF1071" w:rsidRDefault="00AF1071" w:rsidP="00AF1071">
      <w:pPr>
        <w:ind w:firstLine="348"/>
        <w:jc w:val="both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szCs w:val="24"/>
        </w:rPr>
        <w:t>El método de construcción se basa en definir como input una determinada ley, por ejemplo 0.4%, luego serán considerados todos los bloques que tengan ley asociada sobre 0.4%, sumándose sus tonelajes (con lo cual se obtiene el tonelaje total</w:t>
      </w:r>
      <w:proofErr w:type="gramStart"/>
      <w:r w:rsidRPr="00AF1071">
        <w:rPr>
          <w:rFonts w:asciiTheme="minorHAnsi" w:hAnsiTheme="minorHAnsi" w:cs="Arial"/>
          <w:szCs w:val="24"/>
        </w:rPr>
        <w:t>)(</w:t>
      </w:r>
      <w:proofErr w:type="gramEnd"/>
      <w:r w:rsidRPr="00AF1071">
        <w:rPr>
          <w:rFonts w:asciiTheme="minorHAnsi" w:hAnsiTheme="minorHAnsi" w:cs="Arial"/>
          <w:szCs w:val="24"/>
        </w:rPr>
        <w:t xml:space="preserve">ver ejemplo 1). </w:t>
      </w:r>
    </w:p>
    <w:p w:rsidR="007D1023" w:rsidRPr="00AF1071" w:rsidRDefault="007D1023" w:rsidP="00AF1071">
      <w:pPr>
        <w:ind w:firstLine="348"/>
        <w:jc w:val="both"/>
        <w:rPr>
          <w:rFonts w:asciiTheme="minorHAnsi" w:hAnsiTheme="minorHAnsi" w:cs="Arial"/>
          <w:szCs w:val="24"/>
        </w:rPr>
      </w:pPr>
    </w:p>
    <w:p w:rsidR="00AF1071" w:rsidRPr="00AF1071" w:rsidRDefault="00AF1071" w:rsidP="00AF1071">
      <w:pPr>
        <w:ind w:firstLine="348"/>
        <w:jc w:val="center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noProof/>
          <w:szCs w:val="24"/>
          <w:lang w:val="es-CL" w:eastAsia="es-CL"/>
        </w:rPr>
        <w:drawing>
          <wp:inline distT="0" distB="0" distL="0" distR="0">
            <wp:extent cx="2152650" cy="1828800"/>
            <wp:effectExtent l="19050" t="0" r="0" b="0"/>
            <wp:docPr id="11" name="Imagen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071" w:rsidRPr="00AF1071" w:rsidRDefault="00AF1071" w:rsidP="00AF1071">
      <w:pPr>
        <w:ind w:firstLine="348"/>
        <w:jc w:val="center"/>
        <w:rPr>
          <w:rFonts w:asciiTheme="minorHAnsi" w:hAnsiTheme="minorHAnsi" w:cs="Arial"/>
          <w:i/>
          <w:szCs w:val="24"/>
        </w:rPr>
      </w:pPr>
      <w:r w:rsidRPr="00AF1071">
        <w:rPr>
          <w:rFonts w:asciiTheme="minorHAnsi" w:hAnsiTheme="minorHAnsi" w:cs="Arial"/>
          <w:i/>
          <w:szCs w:val="24"/>
        </w:rPr>
        <w:t>Ejemplo 1: cálculo de tonelaje total</w:t>
      </w:r>
    </w:p>
    <w:p w:rsidR="008B576B" w:rsidRDefault="008B576B" w:rsidP="00AF1071">
      <w:pPr>
        <w:ind w:firstLine="348"/>
        <w:jc w:val="both"/>
        <w:rPr>
          <w:rFonts w:asciiTheme="minorHAnsi" w:hAnsiTheme="minorHAnsi" w:cs="Arial"/>
          <w:szCs w:val="24"/>
        </w:rPr>
      </w:pPr>
    </w:p>
    <w:p w:rsidR="00AF1071" w:rsidRDefault="00AF1071" w:rsidP="00AF1071">
      <w:pPr>
        <w:ind w:firstLine="348"/>
        <w:jc w:val="both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szCs w:val="24"/>
        </w:rPr>
        <w:t>Luego a este tonelaje total se le puede calcular el contenido de finos, es decir de mineral puro, este mineral en nuestro caso será calcopirita, calcosina o bornita, los cuales son minerales primarios de cobre (recuerden que lo que se explota en un compuesto mineral, aun cuando existe el cobre nativo o puro el cual no se presenta en este tipo de yacimientos), esto ponderando cada bloque obtenido por su ley (</w:t>
      </w:r>
      <w:r w:rsidRPr="00AF1071">
        <w:rPr>
          <w:rFonts w:asciiTheme="minorHAnsi" w:hAnsiTheme="minorHAnsi" w:cs="Arial"/>
          <w:b/>
          <w:szCs w:val="24"/>
        </w:rPr>
        <w:t>en partes por uno no en porcentaje, esto se hace multiplicando el tonelaje del bloque por la ley y dividiendo por 100)</w:t>
      </w:r>
      <w:r w:rsidRPr="00AF1071">
        <w:rPr>
          <w:rFonts w:asciiTheme="minorHAnsi" w:hAnsiTheme="minorHAnsi" w:cs="Arial"/>
          <w:szCs w:val="24"/>
        </w:rPr>
        <w:t>(ver ejemplo 2).</w:t>
      </w:r>
    </w:p>
    <w:p w:rsidR="007D1023" w:rsidRPr="00AF1071" w:rsidRDefault="007D1023" w:rsidP="00AF1071">
      <w:pPr>
        <w:ind w:firstLine="348"/>
        <w:jc w:val="both"/>
        <w:rPr>
          <w:rFonts w:asciiTheme="minorHAnsi" w:hAnsiTheme="minorHAnsi" w:cs="Arial"/>
          <w:szCs w:val="24"/>
        </w:rPr>
      </w:pPr>
    </w:p>
    <w:p w:rsidR="00AF1071" w:rsidRPr="00AF1071" w:rsidRDefault="00AF1071" w:rsidP="00AF1071">
      <w:pPr>
        <w:ind w:firstLine="348"/>
        <w:jc w:val="center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position w:val="-24"/>
          <w:szCs w:val="24"/>
        </w:rPr>
        <w:object w:dxaOrig="8380" w:dyaOrig="620">
          <v:shape id="_x0000_i1026" type="#_x0000_t75" style="width:419.25pt;height:30.75pt" o:ole="">
            <v:imagedata r:id="rId13" o:title=""/>
          </v:shape>
          <o:OLEObject Type="Embed" ProgID="Equation.3" ShapeID="_x0000_i1026" DrawAspect="Content" ObjectID="_1300637939" r:id="rId14"/>
        </w:object>
      </w:r>
    </w:p>
    <w:p w:rsidR="00AF1071" w:rsidRPr="00AF1071" w:rsidRDefault="00AF1071" w:rsidP="00AF1071">
      <w:pPr>
        <w:ind w:firstLine="348"/>
        <w:jc w:val="center"/>
        <w:rPr>
          <w:rFonts w:asciiTheme="minorHAnsi" w:hAnsiTheme="minorHAnsi" w:cs="Arial"/>
          <w:i/>
          <w:szCs w:val="24"/>
        </w:rPr>
      </w:pPr>
      <w:r w:rsidRPr="00AF1071">
        <w:rPr>
          <w:rFonts w:asciiTheme="minorHAnsi" w:hAnsiTheme="minorHAnsi" w:cs="Arial"/>
          <w:i/>
          <w:szCs w:val="24"/>
        </w:rPr>
        <w:t>Ejemplo 2: Cálculo de tonelaje de finos</w:t>
      </w:r>
    </w:p>
    <w:p w:rsidR="007D1023" w:rsidRDefault="00AF1071" w:rsidP="00AF1071">
      <w:pPr>
        <w:ind w:firstLine="348"/>
        <w:jc w:val="both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szCs w:val="24"/>
        </w:rPr>
        <w:tab/>
      </w:r>
    </w:p>
    <w:p w:rsidR="00AF1071" w:rsidRPr="00AF1071" w:rsidRDefault="00AF1071" w:rsidP="00AF1071">
      <w:pPr>
        <w:ind w:firstLine="348"/>
        <w:jc w:val="both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szCs w:val="24"/>
        </w:rPr>
        <w:t>La ley media se calculará finalmente como la división entre el tonelaje de finos por el tonelaje total (ver ejemplo 3).</w:t>
      </w:r>
    </w:p>
    <w:p w:rsidR="00AF1071" w:rsidRPr="00AF1071" w:rsidRDefault="00AF1071" w:rsidP="00AF1071">
      <w:pPr>
        <w:ind w:firstLine="348"/>
        <w:jc w:val="center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position w:val="-24"/>
          <w:szCs w:val="24"/>
        </w:rPr>
        <w:object w:dxaOrig="2040" w:dyaOrig="620">
          <v:shape id="_x0000_i1027" type="#_x0000_t75" style="width:102pt;height:30.75pt" o:ole="">
            <v:imagedata r:id="rId15" o:title=""/>
          </v:shape>
          <o:OLEObject Type="Embed" ProgID="Equation.3" ShapeID="_x0000_i1027" DrawAspect="Content" ObjectID="_1300637940" r:id="rId16"/>
        </w:object>
      </w:r>
    </w:p>
    <w:p w:rsidR="00AF1071" w:rsidRPr="00AF1071" w:rsidRDefault="00AF1071" w:rsidP="00AF1071">
      <w:pPr>
        <w:ind w:firstLine="348"/>
        <w:jc w:val="center"/>
        <w:rPr>
          <w:rFonts w:asciiTheme="minorHAnsi" w:hAnsiTheme="minorHAnsi" w:cs="Arial"/>
          <w:i/>
          <w:szCs w:val="24"/>
        </w:rPr>
      </w:pPr>
      <w:r w:rsidRPr="00AF1071">
        <w:rPr>
          <w:rFonts w:asciiTheme="minorHAnsi" w:hAnsiTheme="minorHAnsi" w:cs="Arial"/>
          <w:i/>
          <w:szCs w:val="24"/>
        </w:rPr>
        <w:t>Ejemplo 3: Cálculo de ley media.</w:t>
      </w:r>
    </w:p>
    <w:p w:rsidR="00AF1071" w:rsidRPr="00AF1071" w:rsidRDefault="00AF1071" w:rsidP="00AF1071">
      <w:pPr>
        <w:pStyle w:val="Ttulo2"/>
        <w:rPr>
          <w:rFonts w:asciiTheme="minorHAnsi" w:hAnsiTheme="minorHAnsi"/>
          <w:sz w:val="24"/>
          <w:szCs w:val="24"/>
        </w:rPr>
      </w:pPr>
      <w:r w:rsidRPr="00AF1071">
        <w:rPr>
          <w:rFonts w:asciiTheme="minorHAnsi" w:hAnsiTheme="minorHAnsi"/>
          <w:sz w:val="24"/>
          <w:szCs w:val="24"/>
        </w:rPr>
        <w:lastRenderedPageBreak/>
        <w:t>Calculo de ley de corte crítica</w:t>
      </w:r>
    </w:p>
    <w:p w:rsidR="00AF1071" w:rsidRPr="00AF1071" w:rsidRDefault="00AF1071" w:rsidP="00AF1071">
      <w:pPr>
        <w:rPr>
          <w:rFonts w:asciiTheme="minorHAnsi" w:hAnsiTheme="minorHAnsi"/>
          <w:szCs w:val="24"/>
        </w:rPr>
      </w:pPr>
    </w:p>
    <w:p w:rsidR="00AF1071" w:rsidRPr="00AF1071" w:rsidRDefault="00AF1071" w:rsidP="00AF1071">
      <w:pPr>
        <w:ind w:firstLine="708"/>
        <w:jc w:val="both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szCs w:val="24"/>
        </w:rPr>
        <w:t xml:space="preserve">Ley de corte crítica o </w:t>
      </w:r>
      <w:proofErr w:type="spellStart"/>
      <w:r w:rsidRPr="00AF1071">
        <w:rPr>
          <w:rFonts w:asciiTheme="minorHAnsi" w:hAnsiTheme="minorHAnsi" w:cs="Arial"/>
          <w:szCs w:val="24"/>
        </w:rPr>
        <w:t>marginalista</w:t>
      </w:r>
      <w:proofErr w:type="spellEnd"/>
      <w:r w:rsidRPr="00AF1071">
        <w:rPr>
          <w:rFonts w:asciiTheme="minorHAnsi" w:hAnsiTheme="minorHAnsi" w:cs="Arial"/>
          <w:szCs w:val="24"/>
        </w:rPr>
        <w:t xml:space="preserve"> es aquella ley mínima que al enviarla a planta de tratamiento no se produce un beneficio económico ni tampoco una pérdida es decir los ingresos por la venta del producto de este bloque es igual a los costos de extraerlo y procesarlo, o sea el beneficio es igual a cero y el ingreso es igual al costo de producción, esta ley de corte critica es función de tres parámetros fundamentales que son los costos de operación, la recuperación y el precio del mineral (en este caso el cobre).</w:t>
      </w:r>
    </w:p>
    <w:p w:rsidR="00AF1071" w:rsidRPr="00AF1071" w:rsidRDefault="00AF1071" w:rsidP="00AF1071">
      <w:pPr>
        <w:jc w:val="center"/>
        <w:rPr>
          <w:rFonts w:asciiTheme="minorHAnsi" w:hAnsiTheme="minorHAnsi"/>
          <w:noProof/>
          <w:szCs w:val="24"/>
          <w:lang w:eastAsia="es-CL"/>
        </w:rPr>
      </w:pPr>
      <w:r w:rsidRPr="00AF1071">
        <w:rPr>
          <w:rFonts w:asciiTheme="minorHAnsi" w:hAnsiTheme="minorHAnsi"/>
          <w:noProof/>
          <w:szCs w:val="24"/>
          <w:lang w:val="es-CL" w:eastAsia="es-CL"/>
        </w:rPr>
        <w:drawing>
          <wp:inline distT="0" distB="0" distL="0" distR="0">
            <wp:extent cx="4733925" cy="2114550"/>
            <wp:effectExtent l="19050" t="0" r="9525" b="0"/>
            <wp:docPr id="14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2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 l="31398" t="45651" r="21056" b="2035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2114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1023" w:rsidRDefault="007D1023" w:rsidP="00AF1071">
      <w:pPr>
        <w:ind w:firstLine="708"/>
        <w:rPr>
          <w:rFonts w:asciiTheme="minorHAnsi" w:hAnsiTheme="minorHAnsi" w:cs="Arial"/>
          <w:noProof/>
          <w:szCs w:val="24"/>
          <w:lang w:eastAsia="es-CL"/>
        </w:rPr>
      </w:pPr>
    </w:p>
    <w:p w:rsidR="00AF1071" w:rsidRPr="00AF1071" w:rsidRDefault="00AF1071" w:rsidP="00AF1071">
      <w:pPr>
        <w:ind w:firstLine="708"/>
        <w:rPr>
          <w:rFonts w:asciiTheme="minorHAnsi" w:hAnsiTheme="minorHAnsi" w:cs="Arial"/>
          <w:noProof/>
          <w:szCs w:val="24"/>
          <w:lang w:eastAsia="es-CL"/>
        </w:rPr>
      </w:pPr>
      <w:r w:rsidRPr="00AF1071">
        <w:rPr>
          <w:rFonts w:asciiTheme="minorHAnsi" w:hAnsiTheme="minorHAnsi" w:cs="Arial"/>
          <w:noProof/>
          <w:szCs w:val="24"/>
          <w:lang w:eastAsia="es-CL"/>
        </w:rPr>
        <w:t>Esta ley de corte critica se deduce de la siguiente manera</w:t>
      </w:r>
    </w:p>
    <w:p w:rsidR="00AF1071" w:rsidRPr="00AF1071" w:rsidRDefault="00AF1071" w:rsidP="00AF1071">
      <w:pPr>
        <w:rPr>
          <w:rFonts w:asciiTheme="minorHAnsi" w:hAnsiTheme="minorHAnsi"/>
          <w:noProof/>
          <w:szCs w:val="24"/>
          <w:lang w:eastAsia="es-CL"/>
        </w:rPr>
      </w:pPr>
      <w:r w:rsidRPr="00AF1071">
        <w:rPr>
          <w:rFonts w:asciiTheme="minorHAnsi" w:hAnsiTheme="minorHAnsi"/>
          <w:noProof/>
          <w:szCs w:val="24"/>
          <w:lang w:val="es-CL" w:eastAsia="es-CL"/>
        </w:rPr>
        <w:drawing>
          <wp:inline distT="0" distB="0" distL="0" distR="0">
            <wp:extent cx="5457825" cy="3333750"/>
            <wp:effectExtent l="19050" t="0" r="9525" b="0"/>
            <wp:docPr id="15" name="Imagen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5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 l="31567" t="31250" r="20061" b="214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825" cy="3333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F1071" w:rsidRPr="00AF1071" w:rsidRDefault="00AF1071" w:rsidP="00AF1071">
      <w:pPr>
        <w:ind w:firstLine="708"/>
        <w:jc w:val="both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szCs w:val="24"/>
        </w:rPr>
        <w:t xml:space="preserve">Donde UM es unidad de mineral (bloque), </w:t>
      </w:r>
      <w:proofErr w:type="spellStart"/>
      <w:r w:rsidRPr="00AF1071">
        <w:rPr>
          <w:rFonts w:asciiTheme="minorHAnsi" w:hAnsiTheme="minorHAnsi" w:cs="Arial"/>
          <w:szCs w:val="24"/>
        </w:rPr>
        <w:t>Rec</w:t>
      </w:r>
      <w:proofErr w:type="spellEnd"/>
      <w:r w:rsidRPr="00AF1071">
        <w:rPr>
          <w:rFonts w:asciiTheme="minorHAnsi" w:hAnsiTheme="minorHAnsi" w:cs="Arial"/>
          <w:szCs w:val="24"/>
        </w:rPr>
        <w:t xml:space="preserve"> es recuperación, </w:t>
      </w:r>
      <w:proofErr w:type="spellStart"/>
      <w:r w:rsidRPr="00AF1071">
        <w:rPr>
          <w:rFonts w:asciiTheme="minorHAnsi" w:hAnsiTheme="minorHAnsi" w:cs="Arial"/>
          <w:szCs w:val="24"/>
        </w:rPr>
        <w:t>Pcu</w:t>
      </w:r>
      <w:proofErr w:type="spellEnd"/>
      <w:r w:rsidRPr="00AF1071">
        <w:rPr>
          <w:rFonts w:asciiTheme="minorHAnsi" w:hAnsiTheme="minorHAnsi" w:cs="Arial"/>
          <w:szCs w:val="24"/>
        </w:rPr>
        <w:t xml:space="preserve"> es precio del cobre, CM es costo de operación mina, CP es costo de realizar el tratamiento del mineral en la planta o costo de planta y CFR es el costo de fundir y refinar el mineral </w:t>
      </w:r>
    </w:p>
    <w:p w:rsidR="00AF1071" w:rsidRPr="00AF1071" w:rsidRDefault="00AF1071" w:rsidP="00AF1071">
      <w:pPr>
        <w:jc w:val="center"/>
        <w:rPr>
          <w:rFonts w:asciiTheme="minorHAnsi" w:hAnsiTheme="minorHAnsi" w:cs="Arial"/>
          <w:szCs w:val="24"/>
        </w:rPr>
      </w:pPr>
      <w:r w:rsidRPr="00AF1071">
        <w:rPr>
          <w:rFonts w:asciiTheme="minorHAnsi" w:hAnsiTheme="minorHAnsi" w:cs="Arial"/>
          <w:noProof/>
          <w:szCs w:val="24"/>
          <w:lang w:val="es-CL" w:eastAsia="es-CL"/>
        </w:rPr>
        <w:lastRenderedPageBreak/>
        <w:drawing>
          <wp:inline distT="0" distB="0" distL="0" distR="0">
            <wp:extent cx="5981700" cy="4438650"/>
            <wp:effectExtent l="19050" t="0" r="0" b="0"/>
            <wp:docPr id="16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8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 l="29362" t="20651" r="19763" b="1898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1700" cy="4438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687" w:rsidRPr="00AF1071" w:rsidRDefault="00667687">
      <w:pPr>
        <w:rPr>
          <w:rFonts w:asciiTheme="minorHAnsi" w:hAnsiTheme="minorHAnsi"/>
          <w:szCs w:val="24"/>
          <w:lang w:val="es-MX"/>
        </w:rPr>
      </w:pPr>
    </w:p>
    <w:sectPr w:rsidR="00667687" w:rsidRPr="00AF1071" w:rsidSect="009A6E6C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DF266F"/>
    <w:multiLevelType w:val="hybridMultilevel"/>
    <w:tmpl w:val="77800878"/>
    <w:lvl w:ilvl="0" w:tplc="555C35B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EAAD2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C590A6E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D4C255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8AF54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F5A08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2C0FB2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ACD87D8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38AC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42922D29"/>
    <w:multiLevelType w:val="hybridMultilevel"/>
    <w:tmpl w:val="50007466"/>
    <w:lvl w:ilvl="0" w:tplc="3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7246F30"/>
    <w:multiLevelType w:val="hybridMultilevel"/>
    <w:tmpl w:val="BACA839C"/>
    <w:lvl w:ilvl="0" w:tplc="71705BB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D2AE0CA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4C6B27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2E92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71A539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6FE7C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54475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C8879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188A372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84A7001"/>
    <w:multiLevelType w:val="hybridMultilevel"/>
    <w:tmpl w:val="38DE2D2E"/>
    <w:lvl w:ilvl="0" w:tplc="A8EE36F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C0A2F5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E7E83FD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E4A4F2C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B1C51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A102E7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5786CE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F58697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A2CB98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EAE081B"/>
    <w:multiLevelType w:val="multilevel"/>
    <w:tmpl w:val="3FF0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2425A4E"/>
    <w:multiLevelType w:val="hybridMultilevel"/>
    <w:tmpl w:val="181A0224"/>
    <w:lvl w:ilvl="0" w:tplc="9F54E4AC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A50594"/>
    <w:multiLevelType w:val="hybridMultilevel"/>
    <w:tmpl w:val="56D82E74"/>
    <w:lvl w:ilvl="0" w:tplc="A364B76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5BC286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A2BC1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2A5A0E6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28C56D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C8216E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E786B6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E7E01B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4F808A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B695952"/>
    <w:multiLevelType w:val="hybridMultilevel"/>
    <w:tmpl w:val="B1022C92"/>
    <w:lvl w:ilvl="0" w:tplc="36AE3F6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B94AA28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A4461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FA86A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084C0C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F0A954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9B6C63E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6CC03E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8D94F75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2"/>
  </w:num>
  <w:num w:numId="5">
    <w:abstractNumId w:val="7"/>
  </w:num>
  <w:num w:numId="6">
    <w:abstractNumId w:val="0"/>
  </w:num>
  <w:num w:numId="7">
    <w:abstractNumId w:val="5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67687"/>
    <w:rsid w:val="000D5194"/>
    <w:rsid w:val="000D72E2"/>
    <w:rsid w:val="00185968"/>
    <w:rsid w:val="0023459E"/>
    <w:rsid w:val="00262429"/>
    <w:rsid w:val="002957E0"/>
    <w:rsid w:val="00376E50"/>
    <w:rsid w:val="00504519"/>
    <w:rsid w:val="00530DC2"/>
    <w:rsid w:val="00574248"/>
    <w:rsid w:val="005C01F8"/>
    <w:rsid w:val="00667687"/>
    <w:rsid w:val="00705A08"/>
    <w:rsid w:val="00727B0F"/>
    <w:rsid w:val="007B210F"/>
    <w:rsid w:val="007D1023"/>
    <w:rsid w:val="007F130E"/>
    <w:rsid w:val="008B576B"/>
    <w:rsid w:val="00907FEC"/>
    <w:rsid w:val="00924A73"/>
    <w:rsid w:val="00930BE9"/>
    <w:rsid w:val="00937A9C"/>
    <w:rsid w:val="0094105D"/>
    <w:rsid w:val="009A6E6C"/>
    <w:rsid w:val="00AF1071"/>
    <w:rsid w:val="00BA017E"/>
    <w:rsid w:val="00C02549"/>
    <w:rsid w:val="00C10453"/>
    <w:rsid w:val="00C576EE"/>
    <w:rsid w:val="00D42EA9"/>
    <w:rsid w:val="00E97A93"/>
    <w:rsid w:val="00ED57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C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C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67687"/>
    <w:pPr>
      <w:suppressAutoHyphens/>
      <w:spacing w:after="0" w:line="240" w:lineRule="auto"/>
    </w:pPr>
    <w:rPr>
      <w:rFonts w:ascii="Tahoma" w:eastAsia="SimSun" w:hAnsi="Tahoma" w:cs="Times New Roman"/>
      <w:sz w:val="24"/>
      <w:szCs w:val="20"/>
      <w:lang w:val="es-ES" w:eastAsia="zh-CN"/>
    </w:rPr>
  </w:style>
  <w:style w:type="paragraph" w:styleId="Ttulo1">
    <w:name w:val="heading 1"/>
    <w:basedOn w:val="Normal"/>
    <w:next w:val="Normal"/>
    <w:link w:val="Ttulo1Car"/>
    <w:uiPriority w:val="9"/>
    <w:qFormat/>
    <w:rsid w:val="00AF1071"/>
    <w:pPr>
      <w:keepNext/>
      <w:suppressAutoHyphens w:val="0"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s-CL" w:eastAsia="en-US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AF1071"/>
    <w:pPr>
      <w:keepNext/>
      <w:suppressAutoHyphens w:val="0"/>
      <w:spacing w:before="240" w:after="60" w:line="276" w:lineRule="auto"/>
      <w:outlineLvl w:val="1"/>
    </w:pPr>
    <w:rPr>
      <w:rFonts w:ascii="Cambria" w:eastAsia="Times New Roman" w:hAnsi="Cambria"/>
      <w:b/>
      <w:bCs/>
      <w:i/>
      <w:iCs/>
      <w:sz w:val="28"/>
      <w:szCs w:val="28"/>
      <w:lang w:val="es-CL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667687"/>
    <w:rPr>
      <w:color w:val="0000FF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2EA9"/>
    <w:rPr>
      <w:rFonts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2EA9"/>
    <w:rPr>
      <w:rFonts w:ascii="Tahoma" w:eastAsia="SimSun" w:hAnsi="Tahoma" w:cs="Tahoma"/>
      <w:sz w:val="16"/>
      <w:szCs w:val="16"/>
      <w:lang w:val="es-ES" w:eastAsia="zh-CN"/>
    </w:rPr>
  </w:style>
  <w:style w:type="paragraph" w:styleId="NormalWeb">
    <w:name w:val="Normal (Web)"/>
    <w:basedOn w:val="Normal"/>
    <w:uiPriority w:val="99"/>
    <w:semiHidden/>
    <w:unhideWhenUsed/>
    <w:rsid w:val="00D42EA9"/>
    <w:pPr>
      <w:suppressAutoHyphens w:val="0"/>
      <w:spacing w:before="100" w:beforeAutospacing="1" w:after="100" w:afterAutospacing="1"/>
    </w:pPr>
    <w:rPr>
      <w:rFonts w:ascii="Times New Roman" w:eastAsia="Times New Roman" w:hAnsi="Times New Roman"/>
      <w:szCs w:val="24"/>
      <w:lang w:val="es-CL" w:eastAsia="es-CL"/>
    </w:rPr>
  </w:style>
  <w:style w:type="character" w:customStyle="1" w:styleId="Ttulo1Car">
    <w:name w:val="Título 1 Car"/>
    <w:basedOn w:val="Fuentedeprrafopredeter"/>
    <w:link w:val="Ttulo1"/>
    <w:uiPriority w:val="9"/>
    <w:rsid w:val="00AF107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AF1071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Prrafodelista">
    <w:name w:val="List Paragraph"/>
    <w:basedOn w:val="Normal"/>
    <w:uiPriority w:val="34"/>
    <w:qFormat/>
    <w:rsid w:val="00AF1071"/>
    <w:pPr>
      <w:suppressAutoHyphens w:val="0"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es-CL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0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970858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00329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526287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454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620163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785434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08502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93735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4614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786740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06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969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117238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92967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9960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796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372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6524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3301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4262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16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542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866586">
          <w:marLeft w:val="547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13" Type="http://schemas.openxmlformats.org/officeDocument/2006/relationships/image" Target="media/image6.wmf"/><Relationship Id="rId18" Type="http://schemas.openxmlformats.org/officeDocument/2006/relationships/image" Target="media/image9.png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2.png"/><Relationship Id="rId12" Type="http://schemas.openxmlformats.org/officeDocument/2006/relationships/image" Target="media/image5.emf"/><Relationship Id="rId17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oleObject" Target="embeddings/oleObject3.bin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mailto:jacornej@ing.uchile.cl" TargetMode="External"/><Relationship Id="rId5" Type="http://schemas.openxmlformats.org/officeDocument/2006/relationships/image" Target="media/image1.png"/><Relationship Id="rId15" Type="http://schemas.openxmlformats.org/officeDocument/2006/relationships/image" Target="media/image7.wmf"/><Relationship Id="rId10" Type="http://schemas.openxmlformats.org/officeDocument/2006/relationships/hyperlink" Target="mailto:nimontec@ing.uchile.cl" TargetMode="External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image" Target="media/image4.emf"/><Relationship Id="rId14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697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Nicolás</dc:creator>
  <cp:lastModifiedBy>Nicolás</cp:lastModifiedBy>
  <cp:revision>7</cp:revision>
  <dcterms:created xsi:type="dcterms:W3CDTF">2009-04-07T06:32:00Z</dcterms:created>
  <dcterms:modified xsi:type="dcterms:W3CDTF">2009-04-07T23:32:00Z</dcterms:modified>
</cp:coreProperties>
</file>