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9796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</w:pPr>
    </w:p>
    <w:p w14:paraId="03504D02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</w:pPr>
    </w:p>
    <w:p w14:paraId="3AA6EE57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</w:pPr>
    </w:p>
    <w:p w14:paraId="31124451" w14:textId="77777777" w:rsidR="006207EB" w:rsidRPr="006207EB" w:rsidRDefault="006207EB" w:rsidP="006207EB">
      <w:pPr>
        <w:shd w:val="clear" w:color="auto" w:fill="F7CAAC"/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  <w:t>Curso libre</w:t>
      </w:r>
    </w:p>
    <w:p w14:paraId="24D3B790" w14:textId="77777777" w:rsidR="006207EB" w:rsidRPr="006207EB" w:rsidRDefault="006207EB" w:rsidP="006207EB">
      <w:pPr>
        <w:shd w:val="clear" w:color="auto" w:fill="F7CAAC"/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  <w:t xml:space="preserve">Notas de Clase 2 </w:t>
      </w:r>
    </w:p>
    <w:p w14:paraId="6935C482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</w:pPr>
    </w:p>
    <w:p w14:paraId="4EC0AE14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</w:pPr>
      <w:r w:rsidRPr="006207E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5EFE5CD" wp14:editId="6F4FDC43">
            <wp:simplePos x="0" y="0"/>
            <wp:positionH relativeFrom="column">
              <wp:posOffset>2463165</wp:posOffset>
            </wp:positionH>
            <wp:positionV relativeFrom="paragraph">
              <wp:posOffset>57150</wp:posOffset>
            </wp:positionV>
            <wp:extent cx="3147060" cy="12668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VE" w:eastAsia="es-ES"/>
        </w:rPr>
        <w:t>PRIVADO, PÚBLICO</w:t>
      </w:r>
    </w:p>
    <w:p w14:paraId="50E322F6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 xml:space="preserve">La dicotomía espacio público y privado, es una división/exclusión de la propia vida, que genera por un lado un espacio “público” productivo, remunerado, moderno, con progreso científico técnico, con movilidad, conectado con el comercio, la política y los asuntos internacionales; y por el otro lado un espacio “privado”, reproductivo, estático, tradicional, conservador y no remunerado. </w:t>
      </w:r>
    </w:p>
    <w:p w14:paraId="34C10E36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 xml:space="preserve">En estas contradicciones y siguiendo con las ideas de Fernández (2005), lo masculino y el ser hombre aparece vinculado con el ámbito público. En ese espacio “público” se espera que el hombre ostente sabiduría, poder, ejercicio del dominio y demuestre su excelencia y eficacia, su racionalidad. Este espacio es visible, tangible, es el único en donde el trabajo es remunerado, “medible”. </w:t>
      </w:r>
    </w:p>
    <w:p w14:paraId="6D4AF519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 xml:space="preserve">En el ámbito público el poder económico, político, jurídico, científico, religioso, bélico ha estado y está fundamentalmente en los hombres. </w:t>
      </w:r>
    </w:p>
    <w:p w14:paraId="6FA9A4DC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>Lo femenino, asignado a la mujer, se ubica de modo exclusivo en el ámbito privado, doméstico, familiar.</w:t>
      </w:r>
    </w:p>
    <w:p w14:paraId="5A267199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 xml:space="preserve"> El ámbito “privado” aparece como el “propio” de la mujer, la cual por naturaleza podría desempeñarse mejor en ese sentido. Este es el espacio del cuidado, de la atención a los otros, de los afectos, de la reproducción de la vida, del trabajo no remunerado e invisible. Por ser la mujer quien está mejor dotada para el ámbito de lo privado y las exigencias que de éste se derivan, es que se busca evitar históricamente el acceso al trabajo, a la educación, a la ciencia y desde luego a las esferas de poder y toma de decisiones. </w:t>
      </w:r>
    </w:p>
    <w:p w14:paraId="0FE0E728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</w:p>
    <w:p w14:paraId="4210A493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 xml:space="preserve">En consecuencia, la participación de la mujer en los procesos sociales y políticos sigue bloqueada por una especie de “androcracia”, que ha alimentado la creencia de que el mundo de lo público es privativo de los varones. </w:t>
      </w:r>
    </w:p>
    <w:p w14:paraId="13867A57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 xml:space="preserve">Al respecto </w:t>
      </w:r>
      <w:proofErr w:type="spellStart"/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>Hundek</w:t>
      </w:r>
      <w:proofErr w:type="spellEnd"/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 xml:space="preserve"> (2000:5) afirma que algunos analistas han tratado de explicar esta marginalidad como resultado de un escaso interés o incompatibilidad de las mujeres con la política, derivado de una supuesta vocación maternal y orientación particularista. </w:t>
      </w:r>
    </w:p>
    <w:p w14:paraId="29101467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t xml:space="preserve">Estos estereotipos, antes que explicar el fenómeno, reflejan más prejuicios androcéntricos. Por eso cuando las mujeres se logran incorporar al mercado de trabajo pretenden un doble objetivo: a) alcanzar una autonomía económica, liberándose de la dependencia económica tradicional con relación a sus maridos o simplemente de sus parejas; y b) reivindicar el reconocimiento de una </w:t>
      </w: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  <w:lastRenderedPageBreak/>
        <w:t>existencia social pública a través de su presencia en el espacio social que mejor lo otorga en las sociedades modernas, el del mercado.</w:t>
      </w:r>
    </w:p>
    <w:p w14:paraId="68EB811E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CL" w:eastAsia="es-ES"/>
        </w:rPr>
      </w:pPr>
    </w:p>
    <w:p w14:paraId="2DC5439A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  <w:t xml:space="preserve">La crítica feminista ha enfatizado el hecho de que la capacidad de dar sentido, asignar valor, ubicar y determinar, pertenece al “poder” que se ejerce en el ámbito público masculino, espacio valorado y reconocido por sus funciones, protagonistas y restricciones. </w:t>
      </w:r>
    </w:p>
    <w:p w14:paraId="03BF2D69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  <w:t xml:space="preserve">El espacio privado </w:t>
      </w:r>
      <w:proofErr w:type="gramStart"/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  <w:t>es</w:t>
      </w:r>
      <w:proofErr w:type="gramEnd"/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  <w:t xml:space="preserve"> por lo tanto, asumido como </w:t>
      </w:r>
      <w:proofErr w:type="spellStart"/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  <w:t>desjerarquizado</w:t>
      </w:r>
      <w:proofErr w:type="spellEnd"/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  <w:t xml:space="preserve">, sin significación o influencia en los procesos que se escenifican en lo público. A lo anterior se agrega que la valoración que de lo público y lo privado se hace y la supremacía que se establece de un espacio en detrimento del otro, se extiende a los individuos que “naturalmente” ocupan cada uno de ellos. </w:t>
      </w:r>
    </w:p>
    <w:p w14:paraId="583DCD0A" w14:textId="77777777" w:rsidR="006207EB" w:rsidRPr="006207EB" w:rsidRDefault="006207EB" w:rsidP="006207EB">
      <w:pPr>
        <w:spacing w:before="8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6207EB">
        <w:rPr>
          <w:rFonts w:ascii="Arial" w:eastAsia="Times New Roman" w:hAnsi="Arial" w:cs="Times New Roman"/>
          <w:color w:val="000000"/>
          <w:kern w:val="24"/>
          <w:sz w:val="24"/>
          <w:szCs w:val="24"/>
          <w:lang w:val="es-ES" w:eastAsia="es-ES"/>
        </w:rPr>
        <w:t xml:space="preserve">Celia Amorós enfatiza que el poder que se establece en el espacio público se constituye a través de pactos que dan origen a jerarquías y por cuyo uso hay competencia; el espacio privado es el espacio de las “idénticas” no sujetas de poder, no individuas singularizadas con valor o reconocimiento social, no sujetas del contrato social, no partícipes de la “voluntad general”.[1] </w:t>
      </w:r>
    </w:p>
    <w:p w14:paraId="5F32B081" w14:textId="77777777" w:rsidR="0030363F" w:rsidRDefault="0030363F"/>
    <w:sectPr w:rsidR="00303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EB"/>
    <w:rsid w:val="0030363F"/>
    <w:rsid w:val="0062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7C4DA1"/>
  <w15:chartTrackingRefBased/>
  <w15:docId w15:val="{0931243E-51BC-4E6F-B125-CEC600AF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valdivieso</dc:creator>
  <cp:keywords/>
  <dc:description/>
  <cp:lastModifiedBy>magdalena valdivieso</cp:lastModifiedBy>
  <cp:revision>1</cp:revision>
  <dcterms:created xsi:type="dcterms:W3CDTF">2020-09-26T11:37:00Z</dcterms:created>
  <dcterms:modified xsi:type="dcterms:W3CDTF">2020-09-26T11:38:00Z</dcterms:modified>
</cp:coreProperties>
</file>