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2495" w14:textId="3A73656E" w:rsidR="000004F5" w:rsidRPr="000004F5" w:rsidRDefault="000004F5">
      <w:pPr>
        <w:pStyle w:val="Titre1"/>
        <w:spacing w:after="0" w:line="240" w:lineRule="auto"/>
        <w:rPr>
          <w:sz w:val="40"/>
          <w:szCs w:val="40"/>
        </w:rPr>
      </w:pPr>
      <w:bookmarkStart w:id="0" w:name="_heading=h.pmlc79drusqu" w:colFirst="0" w:colLast="0"/>
      <w:bookmarkEnd w:id="0"/>
      <w:r w:rsidRPr="000004F5">
        <w:rPr>
          <w:sz w:val="40"/>
          <w:szCs w:val="40"/>
        </w:rPr>
        <w:t>Capítulo 1: Formulación del Problema</w:t>
      </w:r>
    </w:p>
    <w:p w14:paraId="7FCD18BC" w14:textId="7F4E8C3E" w:rsidR="000004F5" w:rsidRPr="000004F5" w:rsidRDefault="000004F5" w:rsidP="000004F5">
      <w:pPr>
        <w:spacing w:line="240" w:lineRule="auto"/>
        <w:rPr>
          <w:b/>
          <w:bCs/>
          <w:sz w:val="24"/>
          <w:szCs w:val="24"/>
        </w:rPr>
      </w:pPr>
      <w:r w:rsidRPr="000004F5">
        <w:rPr>
          <w:b/>
          <w:bCs/>
          <w:sz w:val="24"/>
          <w:szCs w:val="24"/>
        </w:rPr>
        <w:t>Objetivo General</w:t>
      </w:r>
    </w:p>
    <w:p w14:paraId="05D586CC" w14:textId="27EF17C3" w:rsidR="000004F5" w:rsidRDefault="000004F5" w:rsidP="000004F5">
      <w:pPr>
        <w:spacing w:line="240" w:lineRule="auto"/>
      </w:pPr>
      <w:r>
        <w:t>E</w:t>
      </w:r>
      <w:r>
        <w:t xml:space="preserve">l sentido de esta investigación es dilucidar de qué manera individuos construyen sus perfiles virtuales, específicamente en la aplicación Instagram y en videojuegos, diferenciándolos por identificación de género, femenino/ masculino, no binario; en función de describir sus procesos identificatorios y la relación de ellos con sus perfiles. </w:t>
      </w:r>
    </w:p>
    <w:p w14:paraId="3FE39CFA" w14:textId="71BF81D2" w:rsidR="000004F5" w:rsidRPr="000004F5" w:rsidRDefault="000004F5" w:rsidP="000004F5">
      <w:pPr>
        <w:spacing w:line="240" w:lineRule="auto"/>
        <w:rPr>
          <w:b/>
          <w:bCs/>
          <w:sz w:val="24"/>
          <w:szCs w:val="24"/>
        </w:rPr>
      </w:pPr>
      <w:r w:rsidRPr="000004F5">
        <w:rPr>
          <w:b/>
          <w:bCs/>
          <w:sz w:val="24"/>
          <w:szCs w:val="24"/>
        </w:rPr>
        <w:t>Objetivos Específicos</w:t>
      </w:r>
    </w:p>
    <w:p w14:paraId="6BA0F35C" w14:textId="77777777" w:rsidR="000004F5" w:rsidRDefault="000004F5" w:rsidP="000004F5">
      <w:pPr>
        <w:spacing w:line="240" w:lineRule="auto"/>
      </w:pPr>
      <w:r>
        <w:t xml:space="preserve">Si los objetivos específicos sintetizados han sido: </w:t>
      </w:r>
    </w:p>
    <w:p w14:paraId="18A4F38E" w14:textId="77777777" w:rsidR="000004F5" w:rsidRDefault="000004F5" w:rsidP="000004F5">
      <w:pPr>
        <w:numPr>
          <w:ilvl w:val="0"/>
          <w:numId w:val="1"/>
        </w:numPr>
        <w:spacing w:after="0" w:line="240" w:lineRule="auto"/>
      </w:pPr>
      <w:r>
        <w:t>Definir la correlación entre el género asignado de nacimiento y el elegido en los avatares.</w:t>
      </w:r>
    </w:p>
    <w:p w14:paraId="0B204E0E" w14:textId="77777777" w:rsidR="000004F5" w:rsidRDefault="000004F5" w:rsidP="000004F5">
      <w:pPr>
        <w:numPr>
          <w:ilvl w:val="0"/>
          <w:numId w:val="1"/>
        </w:numPr>
        <w:spacing w:after="0" w:line="240" w:lineRule="auto"/>
      </w:pPr>
      <w:r>
        <w:t xml:space="preserve">Si existen más opciones que Femenino/Masculino, ¿cómo esto afecta su elección? </w:t>
      </w:r>
    </w:p>
    <w:p w14:paraId="715F1CCA" w14:textId="77777777" w:rsidR="000004F5" w:rsidRDefault="000004F5" w:rsidP="000004F5">
      <w:pPr>
        <w:numPr>
          <w:ilvl w:val="0"/>
          <w:numId w:val="1"/>
        </w:numPr>
        <w:spacing w:after="0" w:line="240" w:lineRule="auto"/>
      </w:pPr>
      <w:r>
        <w:t>Analizar la relación entre usuarios no binarios y elección de género de su personaje.</w:t>
      </w:r>
    </w:p>
    <w:p w14:paraId="68E069F1" w14:textId="77777777" w:rsidR="000004F5" w:rsidRDefault="000004F5" w:rsidP="000004F5">
      <w:pPr>
        <w:numPr>
          <w:ilvl w:val="0"/>
          <w:numId w:val="1"/>
        </w:numPr>
        <w:spacing w:after="0" w:line="240" w:lineRule="auto"/>
      </w:pPr>
      <w:r>
        <w:t xml:space="preserve">Ver qué efecto tiene la opción de elegir más allá del Masculino/Femenino en </w:t>
      </w:r>
      <w:proofErr w:type="spellStart"/>
      <w:r>
        <w:t>en</w:t>
      </w:r>
      <w:proofErr w:type="spellEnd"/>
      <w:r>
        <w:t xml:space="preserve"> el goce de los usuarios.</w:t>
      </w:r>
    </w:p>
    <w:p w14:paraId="044D266F" w14:textId="77777777" w:rsidR="000004F5" w:rsidRDefault="000004F5" w:rsidP="000004F5">
      <w:pPr>
        <w:numPr>
          <w:ilvl w:val="0"/>
          <w:numId w:val="1"/>
        </w:numPr>
        <w:spacing w:after="0" w:line="240" w:lineRule="auto"/>
      </w:pPr>
      <w:r>
        <w:t xml:space="preserve">Ver si se crea o no vínculos entre los avatares y ellos mismos cuando se permite la personalización o ausencia de esta para los usuarios. </w:t>
      </w:r>
    </w:p>
    <w:p w14:paraId="1D2DEC78" w14:textId="77777777" w:rsidR="000004F5" w:rsidRPr="000004F5" w:rsidRDefault="000004F5" w:rsidP="000004F5"/>
    <w:p w14:paraId="00000002" w14:textId="77777777" w:rsidR="00E631E2" w:rsidRPr="000004F5" w:rsidRDefault="00000000">
      <w:pPr>
        <w:spacing w:after="0" w:line="240" w:lineRule="auto"/>
        <w:rPr>
          <w:b/>
          <w:sz w:val="40"/>
          <w:szCs w:val="40"/>
        </w:rPr>
      </w:pPr>
      <w:r w:rsidRPr="000004F5">
        <w:rPr>
          <w:b/>
          <w:sz w:val="40"/>
          <w:szCs w:val="40"/>
        </w:rPr>
        <w:t>Capítulo 3: Marco Teórico</w:t>
      </w:r>
    </w:p>
    <w:p w14:paraId="00000003" w14:textId="77777777" w:rsidR="00E631E2" w:rsidRDefault="00E631E2">
      <w:pPr>
        <w:spacing w:after="0" w:line="240" w:lineRule="auto"/>
        <w:rPr>
          <w:b/>
        </w:rPr>
      </w:pPr>
    </w:p>
    <w:p w14:paraId="00000004" w14:textId="77777777" w:rsidR="00E631E2" w:rsidRDefault="00000000">
      <w:pPr>
        <w:spacing w:line="240" w:lineRule="auto"/>
      </w:pPr>
      <w:r>
        <w:t xml:space="preserve">Si el sentido de esta investigación es dilucidar de qué manera individuos construyen sus perfiles virtuales, específicamente en la aplicación Instagram y en videojuegos, diferenciándolos por identificación de género, femenino/ masculino, no binario; en función de describir sus procesos identificatorios y la relación de ellos con sus perfiles. </w:t>
      </w:r>
    </w:p>
    <w:p w14:paraId="00000005" w14:textId="77777777" w:rsidR="00E631E2" w:rsidRDefault="00000000">
      <w:pPr>
        <w:spacing w:line="240" w:lineRule="auto"/>
      </w:pPr>
      <w:r>
        <w:t xml:space="preserve">Si los objetivos específicos sintetizados han sido: </w:t>
      </w:r>
    </w:p>
    <w:p w14:paraId="00000006" w14:textId="77777777" w:rsidR="00E631E2" w:rsidRDefault="00000000">
      <w:pPr>
        <w:numPr>
          <w:ilvl w:val="0"/>
          <w:numId w:val="1"/>
        </w:numPr>
        <w:spacing w:after="0" w:line="240" w:lineRule="auto"/>
      </w:pPr>
      <w:r>
        <w:t>Definir la correlación entre el género asignado de nacimiento y el elegido en los avatares.</w:t>
      </w:r>
    </w:p>
    <w:p w14:paraId="00000007" w14:textId="77777777" w:rsidR="00E631E2" w:rsidRDefault="00000000">
      <w:pPr>
        <w:numPr>
          <w:ilvl w:val="0"/>
          <w:numId w:val="1"/>
        </w:numPr>
        <w:spacing w:after="0" w:line="240" w:lineRule="auto"/>
      </w:pPr>
      <w:r>
        <w:t xml:space="preserve">Si existen más opciones que Femenino/Masculino, ¿cómo esto afecta su elección? </w:t>
      </w:r>
    </w:p>
    <w:p w14:paraId="00000008" w14:textId="77777777" w:rsidR="00E631E2" w:rsidRDefault="00000000">
      <w:pPr>
        <w:numPr>
          <w:ilvl w:val="0"/>
          <w:numId w:val="1"/>
        </w:numPr>
        <w:spacing w:after="0" w:line="240" w:lineRule="auto"/>
      </w:pPr>
      <w:r>
        <w:t>Analizar la relación entre usuarios no binarios y elección de género de su personaje.</w:t>
      </w:r>
    </w:p>
    <w:p w14:paraId="00000009" w14:textId="77777777" w:rsidR="00E631E2" w:rsidRDefault="00000000">
      <w:pPr>
        <w:numPr>
          <w:ilvl w:val="0"/>
          <w:numId w:val="1"/>
        </w:numPr>
        <w:spacing w:after="0" w:line="240" w:lineRule="auto"/>
      </w:pPr>
      <w:r>
        <w:t xml:space="preserve">Ver qué efecto tiene la opción de elegir más allá del Masculino/Femenino en </w:t>
      </w:r>
      <w:proofErr w:type="spellStart"/>
      <w:r>
        <w:t>en</w:t>
      </w:r>
      <w:proofErr w:type="spellEnd"/>
      <w:r>
        <w:t xml:space="preserve"> el goce de los usuarios.</w:t>
      </w:r>
    </w:p>
    <w:p w14:paraId="0000000A" w14:textId="77777777" w:rsidR="00E631E2" w:rsidRDefault="00000000">
      <w:pPr>
        <w:numPr>
          <w:ilvl w:val="0"/>
          <w:numId w:val="1"/>
        </w:numPr>
        <w:spacing w:after="0" w:line="240" w:lineRule="auto"/>
      </w:pPr>
      <w:r>
        <w:t xml:space="preserve">Ver si se crea o no vínculos entre los avatares y ellos mismos cuando se permite la personalización o ausencia de esta para los usuarios. </w:t>
      </w:r>
    </w:p>
    <w:p w14:paraId="0000000B" w14:textId="77777777" w:rsidR="00E631E2" w:rsidRDefault="00E631E2">
      <w:pPr>
        <w:spacing w:after="0" w:line="240" w:lineRule="auto"/>
      </w:pPr>
    </w:p>
    <w:p w14:paraId="0000000C" w14:textId="77777777" w:rsidR="00E631E2" w:rsidRDefault="00000000">
      <w:pPr>
        <w:spacing w:line="240" w:lineRule="auto"/>
      </w:pPr>
      <w:r>
        <w:t xml:space="preserve">Esto significa, que el problema central de la investigación es el de la identidad: “la problemática de la identidad es una cuestión compleja en ningún caso individual, sino psicosocial y </w:t>
      </w:r>
      <w:proofErr w:type="gramStart"/>
      <w:r>
        <w:t>transdisciplinaria”  (</w:t>
      </w:r>
      <w:proofErr w:type="gramEnd"/>
      <w:r>
        <w:t xml:space="preserve">Del Villar &amp; Lacalle, 2022:13), lo que significa que ella nos es un problema individual. Manuel Castells diferencia entre roles e identidades y considera que los roles son acciones mientras que, en cambio las identidades son fuente de sentido: “en términos sencillos, las identidades organizan el sentido, mientras que los roles organizan las funciones” (Castells, M. 1997: 35). </w:t>
      </w:r>
    </w:p>
    <w:p w14:paraId="0000000D" w14:textId="77777777" w:rsidR="00E631E2" w:rsidRDefault="00000000">
      <w:pPr>
        <w:spacing w:line="240" w:lineRule="auto"/>
      </w:pPr>
      <w:r>
        <w:t xml:space="preserve">Luego lo que nos preocupa es el sentido, la significación, no las acciones. “Marc </w:t>
      </w:r>
      <w:proofErr w:type="spellStart"/>
      <w:r>
        <w:t>Augé</w:t>
      </w:r>
      <w:proofErr w:type="spellEnd"/>
      <w:r>
        <w:t xml:space="preserve"> (2004), en su estudio sobre las </w:t>
      </w:r>
      <w:proofErr w:type="gramStart"/>
      <w:r>
        <w:t>sociedades  de</w:t>
      </w:r>
      <w:proofErr w:type="gramEnd"/>
      <w:r>
        <w:t xml:space="preserve">  África  Central,  percibe  que  la  identidad  no  siempre se construye en los espacios de la interacción cara a cara, pues el territorio específico ya no es la referencia para la sociedad y sus miembros. A esto el antropólogo francés lo conceptualiza como </w:t>
      </w:r>
      <w:proofErr w:type="gramStart"/>
      <w:r>
        <w:t>un  “</w:t>
      </w:r>
      <w:proofErr w:type="gramEnd"/>
      <w:r>
        <w:t xml:space="preserve">no  lugar”:  un  espacio  equivalente  al  espacio  virtual </w:t>
      </w:r>
      <w:r>
        <w:lastRenderedPageBreak/>
        <w:t>del anime japonés y de los videojuegos.” (Del Villar &amp; Lacalle, 2022:14); es decir; la referencia para la adscripción de una identidad, pueden ser espacios de interacción, como los vecinos de condominio, sino que redes virtuales, un no lugar. la identidad, entonces se construye a través de varias vías: una, la interacción, otra las redes virtuales; siempre son significaciones, no acciones.</w:t>
      </w:r>
    </w:p>
    <w:p w14:paraId="0000000E" w14:textId="77777777" w:rsidR="00E631E2" w:rsidRDefault="00000000">
      <w:pPr>
        <w:spacing w:line="240" w:lineRule="auto"/>
      </w:pPr>
      <w:r>
        <w:t xml:space="preserve">Se trata de un proceso, donde el sujeto desplaza su propio cuerpo en el espacio social; de un descentramiento. el espacio social, sustituye a su cuerpo, proyectándolo. Zizek nos dice: "cuando, mediante un fetiche, el sujeto "cree a través del otro" (es decir, cuando el objeto-fetiche cree por él, en lugar de él), encontramos también </w:t>
      </w:r>
      <w:proofErr w:type="spellStart"/>
      <w:r>
        <w:t>esta</w:t>
      </w:r>
      <w:proofErr w:type="spellEnd"/>
      <w:r>
        <w:t xml:space="preserve"> "extraña categoría de lo objetivamente subjetivo": lo que el fetiche </w:t>
      </w:r>
      <w:proofErr w:type="spellStart"/>
      <w:r>
        <w:t>objetiviza</w:t>
      </w:r>
      <w:proofErr w:type="spellEnd"/>
      <w:r>
        <w:t xml:space="preserve"> es "mi verdadera creencia", el modo en que las cosas "realmente me parecen", pese a que nunca las experimente efectivamente de esta forma; respecto del fetichismo de las mercancías, el mismo Marx utiliza el término "apariencia objetivamente necesaria". (Zizek, 2000:284-285). </w:t>
      </w:r>
    </w:p>
    <w:p w14:paraId="0000000F" w14:textId="77777777" w:rsidR="00E631E2" w:rsidRDefault="00000000">
      <w:pPr>
        <w:spacing w:line="240" w:lineRule="auto"/>
      </w:pPr>
      <w:r>
        <w:t xml:space="preserve">Lo anterior, significa que el sujeto deja de desear a partir de sí mismo y se proyecta como deseando a través del otro. Ese otro puede ser, un partido político, como en la época de la guerra fría, donde la sociedad luchaba por proyectos históricos. </w:t>
      </w:r>
      <w:proofErr w:type="spellStart"/>
      <w:r>
        <w:t>Castelles</w:t>
      </w:r>
      <w:proofErr w:type="spellEnd"/>
      <w:r>
        <w:t xml:space="preserve"> (citado por Del Villar, 2021:6) entiende a las identidades como fuentes de sentido y distingue la presencia de tres tipos: </w:t>
      </w:r>
    </w:p>
    <w:p w14:paraId="00000010" w14:textId="77777777" w:rsidR="00E631E2" w:rsidRDefault="00000000">
      <w:pPr>
        <w:numPr>
          <w:ilvl w:val="0"/>
          <w:numId w:val="2"/>
        </w:numPr>
        <w:spacing w:after="0" w:line="240" w:lineRule="auto"/>
      </w:pPr>
      <w:r>
        <w:t xml:space="preserve">La “identidad legitimadora": introducida por las instituciones dominantes de la sociedad para extender y racionalizar su dominación. </w:t>
      </w:r>
    </w:p>
    <w:p w14:paraId="00000011" w14:textId="77777777" w:rsidR="00E631E2" w:rsidRDefault="00000000">
      <w:pPr>
        <w:numPr>
          <w:ilvl w:val="0"/>
          <w:numId w:val="2"/>
        </w:numPr>
        <w:spacing w:after="0" w:line="240" w:lineRule="auto"/>
      </w:pPr>
      <w:r>
        <w:t>La “identidad de resistencia" generada por aquellos actores que se encuentran en posiciones/condiciones devaluadas o estigmatizadas por la lógica de la dominación, por lo que construyen trincheras de resistencia […] opuestos a los que impregnan las instituciones de la sociedad.</w:t>
      </w:r>
    </w:p>
    <w:p w14:paraId="00000012" w14:textId="77777777" w:rsidR="00E631E2" w:rsidRDefault="00000000">
      <w:pPr>
        <w:numPr>
          <w:ilvl w:val="0"/>
          <w:numId w:val="2"/>
        </w:numPr>
        <w:spacing w:line="240" w:lineRule="auto"/>
      </w:pPr>
      <w:r>
        <w:t>La “identidad proyecto": cuando los actores sociales, basándose en los materiales culturales de que disponen construyen una nueva identidad que redefine su posición en la sociedad y, al hacerlo, buscan la transformación. (definiciones cortesía de: (Castells M., 1997: 36)) (página 3).</w:t>
      </w:r>
    </w:p>
    <w:p w14:paraId="00000013" w14:textId="77777777" w:rsidR="00E631E2" w:rsidRDefault="00000000">
      <w:pPr>
        <w:spacing w:line="240" w:lineRule="auto"/>
      </w:pPr>
      <w:r>
        <w:t xml:space="preserve">La ausencia de dicho proceso en la </w:t>
      </w:r>
      <w:proofErr w:type="gramStart"/>
      <w:r>
        <w:t>actualidad,</w:t>
      </w:r>
      <w:proofErr w:type="gramEnd"/>
      <w:r>
        <w:t xml:space="preserve"> no evidencia claramente una realidad de funcionamiento estable, y es por ello la necesidad de investigarlo. En nuestra época, investigadores detectaron que los perfiles de Instagram cambian continuamente. Hablando sobre la importancia del trabajo de Moreno, Del Villar y Lacalle (2022:18) escriben: </w:t>
      </w:r>
      <w:r>
        <w:rPr>
          <w:i/>
        </w:rPr>
        <w:t xml:space="preserve">“el cuerpo es síntoma”, no una representación. Lo que se nos describe es la presencia de la necesidad de identidad soportada por los cuerpos prefigurados en esteticidad (y podría ser lo </w:t>
      </w:r>
      <w:proofErr w:type="gramStart"/>
      <w:r>
        <w:rPr>
          <w:i/>
        </w:rPr>
        <w:t>inverso,  también</w:t>
      </w:r>
      <w:proofErr w:type="gramEnd"/>
      <w:r>
        <w:rPr>
          <w:i/>
        </w:rPr>
        <w:t xml:space="preserve">;  esto  es,  en  abyección).  </w:t>
      </w:r>
      <w:proofErr w:type="gramStart"/>
      <w:r>
        <w:rPr>
          <w:i/>
        </w:rPr>
        <w:t>Cuerpos  “</w:t>
      </w:r>
      <w:proofErr w:type="gramEnd"/>
      <w:r>
        <w:rPr>
          <w:i/>
        </w:rPr>
        <w:t>en  total  ruptura  con  la  kinésica”</w:t>
      </w:r>
      <w:r>
        <w:t xml:space="preserve">. </w:t>
      </w:r>
    </w:p>
    <w:p w14:paraId="00000014" w14:textId="77777777" w:rsidR="00E631E2" w:rsidRDefault="00000000">
      <w:pPr>
        <w:spacing w:line="240" w:lineRule="auto"/>
      </w:pPr>
      <w:r>
        <w:t xml:space="preserve">Los perfiles, entonces, cambian. Cabe preguntarse ¿qué está detrás de esos cambios?, ¿qué significan socialmente? ¿a qué insatisfacción remiten? Zizek toma consciencia de que lo que está detrás de la identidad es el goce: “los sujetos interactúan con este “goce”, es el cuerpo que ha sustituido el goce. Luego, lo que debemos estudiar no solo es las características del sujeto en su perfil, sino lo que está detrás, esto el goce; ¿y qué relación tienen los perfiles de los sujetos con el goce de ellos mismos en su </w:t>
      </w:r>
      <w:proofErr w:type="gramStart"/>
      <w:r>
        <w:t>vida?.</w:t>
      </w:r>
      <w:proofErr w:type="gramEnd"/>
    </w:p>
    <w:p w14:paraId="00000015" w14:textId="77777777" w:rsidR="00E631E2" w:rsidRDefault="00000000">
      <w:pPr>
        <w:spacing w:line="240" w:lineRule="auto"/>
      </w:pPr>
      <w:r>
        <w:t xml:space="preserve">Wilhem Reich nos ha descrito el goce desde el punto de vista científico, detectando que es un proceso sociológico, físico, biológico y psíquico: “la vida, y con ella el anhelo de placer, no ocurren en un vacío, sino bajo condiciones naturales y sociales definidas.” (Reich, 1998, p. 215). Los casos del neurótico que forcluye el deseo por la norma o deber son casos explicables no en sí </w:t>
      </w:r>
      <w:proofErr w:type="gramStart"/>
      <w:r>
        <w:t>mismos</w:t>
      </w:r>
      <w:proofErr w:type="gramEnd"/>
      <w:r>
        <w:t xml:space="preserve"> sino que como parte de un proceso social. “¿Cuáles son las fuentes de la plaga neurótica? En primer término, la supresión sexual en la educación familiar autoritaria, con el inevitable conflicto sexual niño-padres y su angustia sexual. Precisamente porque las observaciones clínicas de Freud eran correctas, fue inevitable que yo llegara a las conclusiones a que llegué. Además, había aclarado un problema hasta entonces oscuro: la relación entre la vinculación sexual niño padres y la supresión social generalizada de la sexualidad (Reich, 1998, p. </w:t>
      </w:r>
      <w:proofErr w:type="gramStart"/>
      <w:r>
        <w:t>191)“</w:t>
      </w:r>
      <w:proofErr w:type="gramEnd"/>
      <w:r>
        <w:t xml:space="preserve">el convencimiento de que la represión sexual es un hecho característico de la educación en su totalidad, hizo que el problema se presentara a una luz </w:t>
      </w:r>
      <w:r>
        <w:lastRenderedPageBreak/>
        <w:t xml:space="preserve">completamente distinta. (Reich, 1998, p. 191)”, por esto la construcción de estos perfiles e identidades en el contexto de los nuevos medios de comunicación (véase la web) son consecuencia lógica y esperable de esta necesidad humana primordial, como </w:t>
      </w:r>
      <w:proofErr w:type="spellStart"/>
      <w:r>
        <w:t>Bremond</w:t>
      </w:r>
      <w:proofErr w:type="spellEnd"/>
      <w:r>
        <w:t xml:space="preserve"> define en su texto: “identidad, notaciones de «atmósferas», etcétera; la relación de la unidad con su correlato ya no es entonces distribucional (a menudo varios indicios remiten al mismo significado y su orden de aparición en el discurso no es necesariamente pertinente), sino integradora (</w:t>
      </w:r>
      <w:proofErr w:type="spellStart"/>
      <w:r>
        <w:t>Bremond</w:t>
      </w:r>
      <w:proofErr w:type="spellEnd"/>
      <w:r>
        <w:t>, 1970, p. 19)”.</w:t>
      </w:r>
    </w:p>
    <w:p w14:paraId="00000016" w14:textId="77777777" w:rsidR="00E631E2" w:rsidRDefault="00000000">
      <w:pPr>
        <w:spacing w:line="240" w:lineRule="auto"/>
      </w:pPr>
      <w:r>
        <w:t xml:space="preserve">Finalmente </w:t>
      </w:r>
      <w:proofErr w:type="spellStart"/>
      <w:r>
        <w:t>Bremond</w:t>
      </w:r>
      <w:proofErr w:type="spellEnd"/>
      <w:r>
        <w:t xml:space="preserve"> también reconoce que la autodenominación y la que otros sujetos se den o le den a otros grupos crea mundos, realidades y formas de interactuar, o como él mismo acota: </w:t>
      </w:r>
      <w:proofErr w:type="gramStart"/>
      <w:r>
        <w:t>“ La</w:t>
      </w:r>
      <w:proofErr w:type="gramEnd"/>
      <w:r>
        <w:t xml:space="preserve"> relación que existe entre el lexema y el semema que da cuenta de su contenido se impone de dos maneras diferentes:</w:t>
      </w:r>
    </w:p>
    <w:p w14:paraId="00000017" w14:textId="77777777" w:rsidR="00E631E2" w:rsidRDefault="00000000">
      <w:pPr>
        <w:spacing w:line="240" w:lineRule="auto"/>
      </w:pPr>
      <w:r>
        <w:t>I. El lexema manifestado aparece cada vez como sujeto de consumo en relación con un semema que es objeto de consumo. Se trata, pues, de una relación constante definida semánticamente y que se puede considerar como la distancia entre el plano de la manifestación y el plano del contenido (</w:t>
      </w:r>
      <w:proofErr w:type="spellStart"/>
      <w:r>
        <w:t>Bremond</w:t>
      </w:r>
      <w:proofErr w:type="spellEnd"/>
      <w:r>
        <w:t>, 1970, p. 55)”. Por todo lo anterior vemos factible como grupo la investigación a fondo del tema, mediante métodos cualitativos y cuantitativos, entrevistas de profundidad, encuestas y todas las herramientas necesarias para conseguir datos de calidad.</w:t>
      </w:r>
    </w:p>
    <w:p w14:paraId="00000019" w14:textId="5AE45C3C" w:rsidR="00E631E2" w:rsidRDefault="00000000" w:rsidP="000004F5">
      <w:pPr>
        <w:ind w:left="720" w:hanging="720"/>
        <w:rPr>
          <w:b/>
          <w:u w:val="single"/>
        </w:rPr>
      </w:pPr>
      <w:r>
        <w:rPr>
          <w:b/>
          <w:u w:val="single"/>
        </w:rPr>
        <w:t>Bibliografía</w:t>
      </w:r>
    </w:p>
    <w:p w14:paraId="0000001A" w14:textId="77777777" w:rsidR="00E631E2" w:rsidRDefault="00000000">
      <w:pPr>
        <w:ind w:left="720" w:hanging="720"/>
      </w:pPr>
      <w:r>
        <w:t xml:space="preserve">Del Villar, R., &amp; Lacalle, C. (2022). Editorial </w:t>
      </w:r>
      <w:proofErr w:type="spellStart"/>
      <w:r>
        <w:t>Monográfico</w:t>
      </w:r>
      <w:proofErr w:type="spellEnd"/>
      <w:r>
        <w:t xml:space="preserve"> #45: </w:t>
      </w:r>
      <w:proofErr w:type="spellStart"/>
      <w:r>
        <w:t>Semiótica</w:t>
      </w:r>
      <w:proofErr w:type="spellEnd"/>
      <w:r>
        <w:t xml:space="preserve"> e identidades en un mundo </w:t>
      </w:r>
      <w:proofErr w:type="spellStart"/>
      <w:r>
        <w:t>polidialógico</w:t>
      </w:r>
      <w:proofErr w:type="spellEnd"/>
      <w:r>
        <w:t xml:space="preserve"> transterritorial. Comunicación y Medios, 31(45), 13–21. </w:t>
      </w:r>
      <w:hyperlink r:id="rId6">
        <w:r>
          <w:rPr>
            <w:color w:val="1155CC"/>
            <w:u w:val="single"/>
          </w:rPr>
          <w:t>https://doi.org/10.5354/0719-1529.2022.67670</w:t>
        </w:r>
      </w:hyperlink>
    </w:p>
    <w:p w14:paraId="0000001B" w14:textId="77777777" w:rsidR="00E631E2" w:rsidRDefault="00000000">
      <w:pPr>
        <w:ind w:left="720" w:hanging="720"/>
      </w:pPr>
      <w:r>
        <w:t xml:space="preserve">Zizek, S. (2000). El acoso de las fantasías. Siglo Veintiuno Editores. </w:t>
      </w:r>
      <w:hyperlink r:id="rId7">
        <w:r>
          <w:rPr>
            <w:color w:val="1155CC"/>
            <w:u w:val="single"/>
          </w:rPr>
          <w:t>https://www.u-cursos.cl/icei/2023/1/ICEII17/8/material_docente/detalle?id=6537577</w:t>
        </w:r>
      </w:hyperlink>
    </w:p>
    <w:p w14:paraId="0000001C" w14:textId="77777777" w:rsidR="00E631E2" w:rsidRDefault="00000000">
      <w:pPr>
        <w:ind w:left="720" w:hanging="720"/>
      </w:pPr>
      <w:r>
        <w:t>Reich, W. (1998). La función del orgasmo (2</w:t>
      </w:r>
      <w:r>
        <w:rPr>
          <w:vertAlign w:val="superscript"/>
        </w:rPr>
        <w:t>a</w:t>
      </w:r>
      <w:r>
        <w:t xml:space="preserve"> ed.). </w:t>
      </w:r>
      <w:hyperlink r:id="rId8">
        <w:r>
          <w:rPr>
            <w:color w:val="1155CC"/>
            <w:u w:val="single"/>
          </w:rPr>
          <w:t>https://www.u-cursos.cl/icei/2023/1/ICEII17/8/material_docente/detalle?id=6537581</w:t>
        </w:r>
      </w:hyperlink>
    </w:p>
    <w:p w14:paraId="0000001D" w14:textId="77777777" w:rsidR="00E631E2" w:rsidRDefault="00000000">
      <w:pPr>
        <w:ind w:left="720" w:hanging="720"/>
      </w:pPr>
      <w:r>
        <w:t xml:space="preserve">Del Villar, R. (2021). Sobre la Construcción de Identidades y el Lugar Analítico de las Relaciones de Reproducción y las Relaciones de Producción. 13. </w:t>
      </w:r>
      <w:hyperlink r:id="rId9">
        <w:r>
          <w:rPr>
            <w:color w:val="1155CC"/>
            <w:u w:val="single"/>
          </w:rPr>
          <w:t>https://www.u-cursos.cl/icei/2023/1/ICEII17/8/material_docente/detalle?id=6537485</w:t>
        </w:r>
      </w:hyperlink>
    </w:p>
    <w:p w14:paraId="0000001E" w14:textId="77777777" w:rsidR="00E631E2" w:rsidRDefault="00000000">
      <w:pPr>
        <w:spacing w:after="0" w:line="276" w:lineRule="auto"/>
        <w:jc w:val="both"/>
      </w:pPr>
      <w:proofErr w:type="spellStart"/>
      <w:r>
        <w:t>Bremond</w:t>
      </w:r>
      <w:proofErr w:type="spellEnd"/>
      <w:r>
        <w:t xml:space="preserve"> C. (1970). Análisis Estructural del Relato (traducción 1970, Editorial tiempo contemporáneo)</w:t>
      </w:r>
    </w:p>
    <w:p w14:paraId="0000001F" w14:textId="77777777" w:rsidR="00E631E2" w:rsidRDefault="00000000">
      <w:pPr>
        <w:spacing w:after="0" w:line="276" w:lineRule="auto"/>
        <w:jc w:val="both"/>
      </w:pPr>
      <w:r>
        <w:t xml:space="preserve">              </w:t>
      </w:r>
      <w:hyperlink r:id="rId10">
        <w:r>
          <w:rPr>
            <w:color w:val="1155CC"/>
            <w:u w:val="single"/>
          </w:rPr>
          <w:t>https://www.u-cursos.cl/icei/2023/1/ICEII17/8/material_docente/detalle?id=6479637</w:t>
        </w:r>
      </w:hyperlink>
    </w:p>
    <w:p w14:paraId="00000020" w14:textId="77777777" w:rsidR="00E631E2" w:rsidRDefault="00000000">
      <w:pPr>
        <w:spacing w:after="0" w:line="276" w:lineRule="auto"/>
      </w:pPr>
      <w:r>
        <w:t xml:space="preserve"> </w:t>
      </w:r>
    </w:p>
    <w:p w14:paraId="00000021" w14:textId="77777777" w:rsidR="00E631E2" w:rsidRDefault="00E631E2">
      <w:pPr>
        <w:ind w:left="720" w:hanging="720"/>
      </w:pPr>
    </w:p>
    <w:sectPr w:rsidR="00E631E2">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A53D1"/>
    <w:multiLevelType w:val="multilevel"/>
    <w:tmpl w:val="7F08BD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74704707"/>
    <w:multiLevelType w:val="multilevel"/>
    <w:tmpl w:val="3D7AF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205487">
    <w:abstractNumId w:val="1"/>
  </w:num>
  <w:num w:numId="2" w16cid:durableId="6175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E2"/>
    <w:rsid w:val="000004F5"/>
    <w:rsid w:val="00E631E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FB21"/>
  <w15:docId w15:val="{A5974EBB-524F-45ED-B970-0646E12A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cursos.cl/icei/2023/1/ICEII17/8/material_docente/detalle?id=6537581" TargetMode="External"/><Relationship Id="rId3" Type="http://schemas.openxmlformats.org/officeDocument/2006/relationships/styles" Target="styles.xml"/><Relationship Id="rId7" Type="http://schemas.openxmlformats.org/officeDocument/2006/relationships/hyperlink" Target="https://www.u-cursos.cl/icei/2023/1/ICEII17/8/material_docente/detalle?id=653757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354/0719-1529.2022.6767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cursos.cl/icei/2023/1/ICEII17/8/material_docente/detalle?id=6479637" TargetMode="External"/><Relationship Id="rId4" Type="http://schemas.openxmlformats.org/officeDocument/2006/relationships/settings" Target="settings.xml"/><Relationship Id="rId9" Type="http://schemas.openxmlformats.org/officeDocument/2006/relationships/hyperlink" Target="https://www.u-cursos.cl/icei/2023/1/ICEII17/8/material_docente/detalle?id=653748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FN3gwFE631Din7EQHbCSqcXYw==">CgMxLjAyDmgucG1sYzc5ZHJ1c3F1OAByITF0aGl2U1NQR1hYVkxjQmtIUFRtdmxPRzBWNmFGM3pSMw==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1571</Words>
  <Characters>8641</Characters>
  <Application>Microsoft Office Word</Application>
  <DocSecurity>0</DocSecurity>
  <Lines>72</Lines>
  <Paragraphs>20</Paragraphs>
  <ScaleCrop>false</ScaleCrop>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B14</dc:creator>
  <cp:lastModifiedBy>rdvillar@gmail.com</cp:lastModifiedBy>
  <cp:revision>2</cp:revision>
  <dcterms:created xsi:type="dcterms:W3CDTF">2023-07-18T04:52:00Z</dcterms:created>
  <dcterms:modified xsi:type="dcterms:W3CDTF">2023-07-18T04:52:00Z</dcterms:modified>
</cp:coreProperties>
</file>