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26B" w:rsidRDefault="004852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875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202"/>
      </w:tblGrid>
      <w:tr w:rsidR="0048526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:rsidR="0048526B" w:rsidRDefault="00E3418A">
            <w:pPr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del curso</w:t>
            </w:r>
          </w:p>
        </w:tc>
        <w:tc>
          <w:tcPr>
            <w:tcW w:w="6202" w:type="dxa"/>
            <w:vAlign w:val="center"/>
          </w:tcPr>
          <w:p w:rsidR="0048526B" w:rsidRDefault="00857F0D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857F0D">
              <w:rPr>
                <w:rFonts w:ascii="Calibri" w:eastAsia="Calibri" w:hAnsi="Calibri" w:cs="Calibri"/>
                <w:sz w:val="22"/>
                <w:szCs w:val="22"/>
              </w:rPr>
              <w:t>Cultura y poder: la sociología de Pierre Bourdieu</w:t>
            </w:r>
          </w:p>
        </w:tc>
      </w:tr>
      <w:tr w:rsidR="0048526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:rsidR="0048526B" w:rsidRDefault="00E3418A">
            <w:pPr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Descripción del curso</w:t>
            </w:r>
          </w:p>
        </w:tc>
        <w:tc>
          <w:tcPr>
            <w:tcW w:w="6202" w:type="dxa"/>
            <w:vAlign w:val="center"/>
          </w:tcPr>
          <w:p w:rsidR="0048526B" w:rsidRDefault="00857F0D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57F0D">
              <w:rPr>
                <w:rFonts w:ascii="Calibri" w:eastAsia="Calibri" w:hAnsi="Calibri" w:cs="Calibri"/>
                <w:sz w:val="22"/>
                <w:szCs w:val="22"/>
              </w:rPr>
              <w:t xml:space="preserve">Este curso explora y analiza las principales dimensiones teóricas de la sociología de la cultura de Pierre Bourdieu. Al hacerlo, no solo discutirá sus conceptos básicos —capital cultural, </w:t>
            </w:r>
            <w:proofErr w:type="spellStart"/>
            <w:r w:rsidRPr="00CA4E0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habitus</w:t>
            </w:r>
            <w:proofErr w:type="spellEnd"/>
            <w:r w:rsidRPr="00857F0D">
              <w:rPr>
                <w:rFonts w:ascii="Calibri" w:eastAsia="Calibri" w:hAnsi="Calibri" w:cs="Calibri"/>
                <w:sz w:val="22"/>
                <w:szCs w:val="22"/>
              </w:rPr>
              <w:t>, violencia simbólica, etcétera—, sino también p</w:t>
            </w:r>
            <w:bookmarkStart w:id="0" w:name="_GoBack"/>
            <w:bookmarkEnd w:id="0"/>
            <w:r w:rsidRPr="00857F0D">
              <w:rPr>
                <w:rFonts w:ascii="Calibri" w:eastAsia="Calibri" w:hAnsi="Calibri" w:cs="Calibri"/>
                <w:sz w:val="22"/>
                <w:szCs w:val="22"/>
              </w:rPr>
              <w:t>roblematizará la relación entre poder y campo de producción cultural.</w:t>
            </w:r>
          </w:p>
        </w:tc>
      </w:tr>
      <w:tr w:rsidR="0048526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:rsidR="0048526B" w:rsidRDefault="00E3418A">
            <w:pPr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Objetivos</w:t>
            </w:r>
          </w:p>
        </w:tc>
        <w:tc>
          <w:tcPr>
            <w:tcW w:w="6202" w:type="dxa"/>
            <w:vAlign w:val="center"/>
          </w:tcPr>
          <w:p w:rsidR="0048526B" w:rsidRDefault="00CA4E0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Este curso tiene como objetivo analizar y problematizar las principales dimensiones teóricas de la sociología de la cultura de Pierre Bourdieu. </w:t>
            </w:r>
          </w:p>
        </w:tc>
      </w:tr>
      <w:tr w:rsidR="0048526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:rsidR="0048526B" w:rsidRDefault="00E3418A">
            <w:pPr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Contenidos</w:t>
            </w:r>
          </w:p>
        </w:tc>
        <w:tc>
          <w:tcPr>
            <w:tcW w:w="6202" w:type="dxa"/>
            <w:vAlign w:val="center"/>
          </w:tcPr>
          <w:p w:rsidR="0048526B" w:rsidRDefault="00CA4E05" w:rsidP="00E3418A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ind w:leftChars="0" w:firstLineChars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Problemas teóricos y hallazgos empíricos del sistema educativo: génesis del concepto de capital cultural</w:t>
            </w:r>
          </w:p>
          <w:p w:rsidR="00CA4E05" w:rsidRDefault="00CA4E05" w:rsidP="00E3418A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ind w:leftChars="0" w:firstLineChars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Campo de producción cultural y poder: producción, circulación y recepción.</w:t>
            </w:r>
          </w:p>
          <w:p w:rsidR="0048526B" w:rsidRPr="00CA4E05" w:rsidRDefault="00CA4E05" w:rsidP="00E3418A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ind w:leftChars="0" w:firstLineChars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Críticas y derivas contemporáneas del pensamiento de Pierre Bourdieu</w:t>
            </w:r>
          </w:p>
        </w:tc>
      </w:tr>
      <w:tr w:rsidR="0048526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:rsidR="0048526B" w:rsidRDefault="00E3418A">
            <w:pPr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Metodología</w:t>
            </w:r>
          </w:p>
        </w:tc>
        <w:tc>
          <w:tcPr>
            <w:tcW w:w="6202" w:type="dxa"/>
            <w:vAlign w:val="center"/>
          </w:tcPr>
          <w:p w:rsidR="0048526B" w:rsidRDefault="00803525" w:rsidP="00E3418A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Este curso tendrá el formato de seminario: un carácter expositivo por parte el profesor y participativo por las/los estudiantes. Se complementará con imágenes, videos y recursos varios.  </w:t>
            </w:r>
          </w:p>
        </w:tc>
      </w:tr>
      <w:tr w:rsidR="0048526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:rsidR="0048526B" w:rsidRDefault="00E3418A">
            <w:pPr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Modalidad de evaluación</w:t>
            </w:r>
          </w:p>
        </w:tc>
        <w:tc>
          <w:tcPr>
            <w:tcW w:w="6202" w:type="dxa"/>
            <w:vAlign w:val="center"/>
          </w:tcPr>
          <w:p w:rsidR="0048526B" w:rsidRDefault="0048526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8526B">
        <w:trPr>
          <w:trHeight w:val="340"/>
        </w:trPr>
        <w:tc>
          <w:tcPr>
            <w:tcW w:w="2552" w:type="dxa"/>
            <w:vMerge w:val="restart"/>
            <w:shd w:val="clear" w:color="auto" w:fill="FFC000"/>
            <w:vAlign w:val="center"/>
          </w:tcPr>
          <w:p w:rsidR="0048526B" w:rsidRDefault="00E3418A" w:rsidP="00E3418A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Bibliografía </w:t>
            </w:r>
          </w:p>
        </w:tc>
        <w:tc>
          <w:tcPr>
            <w:tcW w:w="6202" w:type="dxa"/>
            <w:vAlign w:val="center"/>
          </w:tcPr>
          <w:p w:rsidR="0048526B" w:rsidRDefault="00E3418A" w:rsidP="00E3418A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Obligatoria:</w:t>
            </w:r>
            <w:r w:rsidR="0080352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3C1CAF" w:rsidRDefault="003C1CAF" w:rsidP="00E3418A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C1CAF">
              <w:rPr>
                <w:rFonts w:ascii="Calibri" w:eastAsia="Calibri" w:hAnsi="Calibri" w:cs="Calibri"/>
                <w:sz w:val="22"/>
                <w:szCs w:val="22"/>
              </w:rPr>
              <w:t>Bourdieu, Pierre. (201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Pr="003C1CAF">
              <w:rPr>
                <w:rFonts w:ascii="Calibri" w:eastAsia="Calibri" w:hAnsi="Calibri" w:cs="Calibri"/>
                <w:sz w:val="22"/>
                <w:szCs w:val="22"/>
              </w:rPr>
              <w:t>).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Las estrategias de la reproducción social. Buenos Aires: Siglo XXI. Págs. 199-224</w:t>
            </w:r>
          </w:p>
          <w:p w:rsidR="003C1CAF" w:rsidRDefault="003C1CAF" w:rsidP="00E3418A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C1CAF">
              <w:rPr>
                <w:rFonts w:ascii="Calibri" w:eastAsia="Calibri" w:hAnsi="Calibri" w:cs="Calibri"/>
                <w:sz w:val="22"/>
                <w:szCs w:val="22"/>
              </w:rPr>
              <w:t>Bourdieu, Pierre. (201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Pr="003C1CAF">
              <w:rPr>
                <w:rFonts w:ascii="Calibri" w:eastAsia="Calibri" w:hAnsi="Calibri" w:cs="Calibri"/>
                <w:sz w:val="22"/>
                <w:szCs w:val="22"/>
              </w:rPr>
              <w:t>).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Intervenciones políticas. Un sociólogo en la barricada.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Buenos Aires: Siglo XXI. Págs.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85-89</w:t>
            </w:r>
          </w:p>
          <w:p w:rsidR="003C1CAF" w:rsidRDefault="003C1CAF" w:rsidP="00E3418A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C1CAF">
              <w:rPr>
                <w:rFonts w:ascii="Calibri" w:eastAsia="Calibri" w:hAnsi="Calibri" w:cs="Calibri"/>
                <w:sz w:val="22"/>
                <w:szCs w:val="22"/>
              </w:rPr>
              <w:t xml:space="preserve">Bourdieu, Pierre. (2010). El sentido social del gusto. Elementos para una sociología de la cultura. Buenos Aires: Siglo XXI. Pág. 19-41. </w:t>
            </w:r>
          </w:p>
          <w:p w:rsidR="003C1CAF" w:rsidRDefault="00E3418A" w:rsidP="00E3418A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C1CAF">
              <w:rPr>
                <w:rFonts w:ascii="Calibri" w:eastAsia="Calibri" w:hAnsi="Calibri" w:cs="Calibri"/>
                <w:sz w:val="22"/>
                <w:szCs w:val="22"/>
              </w:rPr>
              <w:t xml:space="preserve">Bourdieu, Pierre. (2005). Las reglas del arte. Génesis y estructura del campo literario. Barcelona: Anagrama. Págs. 318-410. </w:t>
            </w:r>
          </w:p>
          <w:p w:rsidR="00E3418A" w:rsidRDefault="00E3418A" w:rsidP="00E3418A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8526B">
        <w:trPr>
          <w:trHeight w:val="340"/>
        </w:trPr>
        <w:tc>
          <w:tcPr>
            <w:tcW w:w="2552" w:type="dxa"/>
            <w:vMerge/>
            <w:shd w:val="clear" w:color="auto" w:fill="FFC000"/>
            <w:vAlign w:val="center"/>
          </w:tcPr>
          <w:p w:rsidR="0048526B" w:rsidRDefault="00485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02" w:type="dxa"/>
            <w:vAlign w:val="center"/>
          </w:tcPr>
          <w:p w:rsidR="0048526B" w:rsidRDefault="00E3418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Complementaria: </w:t>
            </w:r>
          </w:p>
          <w:p w:rsidR="003C1CAF" w:rsidRDefault="003C1CAF" w:rsidP="00E3418A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C1CAF">
              <w:rPr>
                <w:rFonts w:ascii="Calibri" w:eastAsia="Calibri" w:hAnsi="Calibri" w:cs="Calibri"/>
                <w:sz w:val="22"/>
                <w:szCs w:val="22"/>
              </w:rPr>
              <w:t xml:space="preserve">Bourdieu, Pierre. (2005). Las reglas del arte. Génesis y estructura del campo literario. Barcelona: Anagrama. Págs. 318-410. </w:t>
            </w:r>
          </w:p>
          <w:p w:rsidR="003C1CAF" w:rsidRDefault="003C1CAF" w:rsidP="00E3418A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C1CAF">
              <w:rPr>
                <w:rFonts w:ascii="Calibri" w:eastAsia="Calibri" w:hAnsi="Calibri" w:cs="Calibri"/>
                <w:sz w:val="22"/>
                <w:szCs w:val="22"/>
              </w:rPr>
              <w:t>Bourdieu, Pierre. (2002). (2002b) “</w:t>
            </w:r>
            <w:proofErr w:type="gramStart"/>
            <w:r w:rsidRPr="003C1CAF">
              <w:rPr>
                <w:rFonts w:ascii="Calibri" w:eastAsia="Calibri" w:hAnsi="Calibri" w:cs="Calibri"/>
                <w:sz w:val="22"/>
                <w:szCs w:val="22"/>
              </w:rPr>
              <w:t>Pero,</w:t>
            </w:r>
            <w:proofErr w:type="gramEnd"/>
            <w:r w:rsidRPr="003C1CAF">
              <w:rPr>
                <w:rFonts w:ascii="Calibri" w:eastAsia="Calibri" w:hAnsi="Calibri" w:cs="Calibri"/>
                <w:sz w:val="22"/>
                <w:szCs w:val="22"/>
              </w:rPr>
              <w:t xml:space="preserve"> ¿Quién creó a los creadores?” En: Cuestiones de Sociología. Barcelona: Editorial Istmo. Págs. 205-232</w:t>
            </w:r>
          </w:p>
          <w:p w:rsidR="003C1CAF" w:rsidRDefault="003C1CAF" w:rsidP="00E3418A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C1CAF">
              <w:rPr>
                <w:rFonts w:ascii="Calibri" w:eastAsia="Calibri" w:hAnsi="Calibri" w:cs="Calibri"/>
                <w:sz w:val="22"/>
                <w:szCs w:val="22"/>
              </w:rPr>
              <w:t xml:space="preserve">Bourdieu, Pierre y </w:t>
            </w:r>
            <w:proofErr w:type="spellStart"/>
            <w:r w:rsidRPr="003C1CAF">
              <w:rPr>
                <w:rFonts w:ascii="Calibri" w:eastAsia="Calibri" w:hAnsi="Calibri" w:cs="Calibri"/>
                <w:sz w:val="22"/>
                <w:szCs w:val="22"/>
              </w:rPr>
              <w:t>Darbel</w:t>
            </w:r>
            <w:proofErr w:type="spellEnd"/>
            <w:r w:rsidRPr="003C1CAF">
              <w:rPr>
                <w:rFonts w:ascii="Calibri" w:eastAsia="Calibri" w:hAnsi="Calibri" w:cs="Calibri"/>
                <w:sz w:val="22"/>
                <w:szCs w:val="22"/>
              </w:rPr>
              <w:t>, Alain. (2004). El amor al arte. Los museos europeos y su público. Buenos Aires: Paidós. Págs. 169-177</w:t>
            </w:r>
          </w:p>
          <w:p w:rsidR="003C1CAF" w:rsidRDefault="003C1CAF" w:rsidP="00E3418A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C1CAF">
              <w:rPr>
                <w:rFonts w:ascii="Calibri" w:eastAsia="Calibri" w:hAnsi="Calibri" w:cs="Calibri"/>
                <w:sz w:val="22"/>
                <w:szCs w:val="22"/>
              </w:rPr>
              <w:t xml:space="preserve">Bourdieu, Pierre (2003). “Elementos de una teoría sociológica de la percepción artística”. En: Campo de poder campo intelectual. Buenos Aires: Editorial </w:t>
            </w:r>
            <w:proofErr w:type="spellStart"/>
            <w:r w:rsidRPr="003C1CAF">
              <w:rPr>
                <w:rFonts w:ascii="Calibri" w:eastAsia="Calibri" w:hAnsi="Calibri" w:cs="Calibri"/>
                <w:sz w:val="22"/>
                <w:szCs w:val="22"/>
              </w:rPr>
              <w:t>Quadrata</w:t>
            </w:r>
            <w:proofErr w:type="spellEnd"/>
            <w:r w:rsidRPr="003C1CAF">
              <w:rPr>
                <w:rFonts w:ascii="Calibri" w:eastAsia="Calibri" w:hAnsi="Calibri" w:cs="Calibri"/>
                <w:sz w:val="22"/>
                <w:szCs w:val="22"/>
              </w:rPr>
              <w:t>. Págs. 63-95</w:t>
            </w:r>
          </w:p>
          <w:p w:rsidR="00E3418A" w:rsidRPr="003C1CAF" w:rsidRDefault="00E3418A" w:rsidP="00E3418A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C1CAF">
              <w:rPr>
                <w:rFonts w:ascii="Calibri" w:eastAsia="Calibri" w:hAnsi="Calibri" w:cs="Calibri"/>
                <w:sz w:val="22"/>
                <w:szCs w:val="22"/>
              </w:rPr>
              <w:t>Bourdieu, Pierre. (201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Pr="003C1CAF">
              <w:rPr>
                <w:rFonts w:ascii="Calibri" w:eastAsia="Calibri" w:hAnsi="Calibri" w:cs="Calibri"/>
                <w:sz w:val="22"/>
                <w:szCs w:val="22"/>
              </w:rPr>
              <w:t>).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La reproducción. Elementos para una teoría del sistema educativo. Buenos Aires: Siglo XXI. Págs. 43-98</w:t>
            </w:r>
          </w:p>
          <w:p w:rsidR="0048526B" w:rsidRDefault="003C1CAF" w:rsidP="00E3418A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3C1CAF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Moraña</w:t>
            </w:r>
            <w:proofErr w:type="spellEnd"/>
            <w:r w:rsidRPr="003C1CAF">
              <w:rPr>
                <w:rFonts w:ascii="Calibri" w:eastAsia="Calibri" w:hAnsi="Calibri" w:cs="Calibri"/>
                <w:sz w:val="22"/>
                <w:szCs w:val="22"/>
              </w:rPr>
              <w:t>, Mabel. (2014). Bourdieu en la periferia. Capital simbólico y campo cultural en América Latina. Santiago, Chile: Editorial Cuarto Propio. Págs. 132-147</w:t>
            </w:r>
          </w:p>
        </w:tc>
      </w:tr>
    </w:tbl>
    <w:p w:rsidR="0048526B" w:rsidRDefault="00E3418A">
      <w:pPr>
        <w:ind w:left="0" w:hanging="2"/>
        <w:jc w:val="both"/>
      </w:pPr>
      <w:r>
        <w:rPr>
          <w:rFonts w:ascii="Calibri" w:eastAsia="Calibri" w:hAnsi="Calibri" w:cs="Calibri"/>
          <w:sz w:val="22"/>
          <w:szCs w:val="22"/>
        </w:rPr>
        <w:lastRenderedPageBreak/>
        <w:tab/>
      </w:r>
    </w:p>
    <w:sectPr w:rsidR="0048526B">
      <w:pgSz w:w="12240" w:h="15840"/>
      <w:pgMar w:top="1418" w:right="1467" w:bottom="1560" w:left="1418" w:header="284" w:footer="141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C6745"/>
    <w:multiLevelType w:val="hybridMultilevel"/>
    <w:tmpl w:val="EBF83522"/>
    <w:lvl w:ilvl="0" w:tplc="F6EEB846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6B"/>
    <w:rsid w:val="003C1CAF"/>
    <w:rsid w:val="0048526B"/>
    <w:rsid w:val="00803525"/>
    <w:rsid w:val="00857F0D"/>
    <w:rsid w:val="00CA4E05"/>
    <w:rsid w:val="00E3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F50B9E"/>
  <w15:docId w15:val="{BE568C9C-B9D2-074D-BD5F-07CA19E7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pPr>
      <w:jc w:val="both"/>
    </w:pPr>
    <w:rPr>
      <w:rFonts w:ascii="Trebuchet MS" w:hAnsi="Trebuchet MS" w:cs="Trebuchet MS"/>
      <w:color w:val="333333"/>
    </w:rPr>
  </w:style>
  <w:style w:type="character" w:customStyle="1" w:styleId="TextonotapieCar">
    <w:name w:val="Texto nota pie Car"/>
    <w:rPr>
      <w:rFonts w:ascii="Trebuchet MS" w:eastAsia="Times New Roman" w:hAnsi="Trebuchet MS" w:cs="Trebuchet MS"/>
      <w:color w:val="333333"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Listavistosa-nfasis11">
    <w:name w:val="Lista vistosa - Énfasis 11"/>
    <w:basedOn w:val="Normal"/>
    <w:pPr>
      <w:ind w:left="720"/>
      <w:contextualSpacing/>
    </w:pPr>
    <w:rPr>
      <w:rFonts w:ascii="Calibri" w:eastAsia="Calibri" w:hAnsi="Calibri" w:cs="Times New Roman"/>
      <w:sz w:val="22"/>
      <w:szCs w:val="22"/>
      <w:lang w:val="es-CL" w:eastAsia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A4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IrTBB0C9a5oed3SGLFD8j+aAxQ==">AMUW2mUeNvTUwvM9CpDE/s5pbEYlStrIhq3uTrusmzpvvYc54l1IfvTTQyUiU3p7ycuw/P8Y0mCk986hfUKLJhHMYXKn+miCWtANaA4H9zY/vbJI2ruWToY=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Medrano Soto</dc:creator>
  <cp:lastModifiedBy>Tomas Peters</cp:lastModifiedBy>
  <cp:revision>3</cp:revision>
  <dcterms:created xsi:type="dcterms:W3CDTF">2020-05-19T17:39:00Z</dcterms:created>
  <dcterms:modified xsi:type="dcterms:W3CDTF">2021-09-01T21:41:00Z</dcterms:modified>
</cp:coreProperties>
</file>