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E0FB" w14:textId="77777777" w:rsidR="006507D4" w:rsidRPr="00E55A36" w:rsidRDefault="00265C77" w:rsidP="006507D4">
      <w:pPr>
        <w:jc w:val="center"/>
        <w:rPr>
          <w:b/>
        </w:rPr>
      </w:pPr>
      <w:r w:rsidRPr="00E55A36">
        <w:rPr>
          <w:b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E55A36" w14:paraId="234E80B5" w14:textId="77777777" w:rsidTr="00CD6446">
        <w:tc>
          <w:tcPr>
            <w:tcW w:w="3085" w:type="dxa"/>
          </w:tcPr>
          <w:p w14:paraId="7B1DD43F" w14:textId="77777777" w:rsidR="006507D4" w:rsidRPr="00E55A36" w:rsidRDefault="006507D4" w:rsidP="006507D4">
            <w:pPr>
              <w:spacing w:after="0" w:line="240" w:lineRule="auto"/>
              <w:rPr>
                <w:b/>
              </w:rPr>
            </w:pPr>
            <w:r w:rsidRPr="00E55A36">
              <w:rPr>
                <w:b/>
              </w:rPr>
              <w:t>Componentes</w:t>
            </w:r>
          </w:p>
        </w:tc>
        <w:tc>
          <w:tcPr>
            <w:tcW w:w="6662" w:type="dxa"/>
          </w:tcPr>
          <w:p w14:paraId="426477A3" w14:textId="77777777" w:rsidR="006507D4" w:rsidRPr="00E55A36" w:rsidRDefault="006507D4" w:rsidP="006507D4">
            <w:pPr>
              <w:spacing w:after="0" w:line="240" w:lineRule="auto"/>
              <w:rPr>
                <w:b/>
              </w:rPr>
            </w:pPr>
            <w:r w:rsidRPr="00E55A36">
              <w:rPr>
                <w:b/>
              </w:rPr>
              <w:t>Descripción</w:t>
            </w:r>
          </w:p>
        </w:tc>
      </w:tr>
      <w:tr w:rsidR="006507D4" w:rsidRPr="00E55A36" w14:paraId="10DFEFBA" w14:textId="77777777" w:rsidTr="00CD6446">
        <w:trPr>
          <w:trHeight w:val="420"/>
        </w:trPr>
        <w:tc>
          <w:tcPr>
            <w:tcW w:w="3085" w:type="dxa"/>
          </w:tcPr>
          <w:p w14:paraId="15AC6717" w14:textId="77777777" w:rsidR="006507D4" w:rsidRPr="00E55A3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>Nombre del curso</w:t>
            </w:r>
          </w:p>
          <w:p w14:paraId="11FB8DD6" w14:textId="77777777" w:rsidR="006507D4" w:rsidRPr="00E55A36" w:rsidRDefault="006507D4" w:rsidP="006507D4">
            <w:pPr>
              <w:spacing w:after="0" w:line="240" w:lineRule="auto"/>
            </w:pPr>
          </w:p>
        </w:tc>
        <w:tc>
          <w:tcPr>
            <w:tcW w:w="6662" w:type="dxa"/>
          </w:tcPr>
          <w:p w14:paraId="7A7D1238" w14:textId="77777777" w:rsidR="00E55A36" w:rsidRPr="00E55A36" w:rsidRDefault="00E55A36" w:rsidP="00E55A36">
            <w:pPr>
              <w:spacing w:after="0" w:line="240" w:lineRule="auto"/>
              <w:rPr>
                <w:rFonts w:eastAsia="Times New Roman"/>
                <w:lang w:eastAsia="es-ES"/>
              </w:rPr>
            </w:pPr>
            <w:r w:rsidRPr="00E55A36">
              <w:rPr>
                <w:rFonts w:eastAsia="Times New Roman"/>
                <w:lang w:eastAsia="es-ES"/>
              </w:rPr>
              <w:t>Migraciones y comunicación: las nuevas fronteras del discurso político, social y cultural</w:t>
            </w:r>
          </w:p>
          <w:p w14:paraId="2B30F97D" w14:textId="77777777" w:rsidR="006507D4" w:rsidRPr="00E55A36" w:rsidRDefault="006507D4" w:rsidP="00B41367">
            <w:pPr>
              <w:spacing w:after="0" w:line="240" w:lineRule="auto"/>
              <w:rPr>
                <w:b/>
                <w:lang w:val="es-ES"/>
              </w:rPr>
            </w:pPr>
          </w:p>
        </w:tc>
      </w:tr>
      <w:tr w:rsidR="006507D4" w:rsidRPr="00E55A36" w14:paraId="0CAA5745" w14:textId="77777777" w:rsidTr="00CD6446">
        <w:tc>
          <w:tcPr>
            <w:tcW w:w="3085" w:type="dxa"/>
          </w:tcPr>
          <w:p w14:paraId="79FC78B3" w14:textId="77777777" w:rsidR="006507D4" w:rsidRPr="00E55A36" w:rsidRDefault="006507D4" w:rsidP="006507D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 xml:space="preserve">Número de </w:t>
            </w:r>
            <w:r w:rsidR="0075505A" w:rsidRPr="00E55A36">
              <w:t xml:space="preserve"> SCT</w:t>
            </w:r>
            <w:r w:rsidRPr="00E55A36">
              <w:t>/ horas de  trabajo</w:t>
            </w:r>
            <w:r w:rsidR="00FA32A3" w:rsidRPr="00E55A36">
              <w:t xml:space="preserve"> </w:t>
            </w:r>
            <w:r w:rsidR="00FA32A3" w:rsidRPr="00E55A36">
              <w:rPr>
                <w:color w:val="808080" w:themeColor="background1" w:themeShade="80"/>
              </w:rPr>
              <w:t xml:space="preserve">(sesiones </w:t>
            </w:r>
            <w:r w:rsidR="00716442" w:rsidRPr="00E55A36">
              <w:rPr>
                <w:color w:val="808080" w:themeColor="background1" w:themeShade="80"/>
              </w:rPr>
              <w:t>8</w:t>
            </w:r>
            <w:r w:rsidR="00FA32A3" w:rsidRPr="00E55A36">
              <w:rPr>
                <w:color w:val="808080" w:themeColor="background1" w:themeShade="80"/>
              </w:rPr>
              <w:t xml:space="preserve"> semanas 2SCT y sesiones de 1</w:t>
            </w:r>
            <w:r w:rsidR="00716442" w:rsidRPr="00E55A36">
              <w:rPr>
                <w:color w:val="808080" w:themeColor="background1" w:themeShade="80"/>
              </w:rPr>
              <w:t>6</w:t>
            </w:r>
            <w:r w:rsidR="00FA32A3" w:rsidRPr="00E55A36">
              <w:rPr>
                <w:color w:val="808080" w:themeColor="background1" w:themeShade="80"/>
              </w:rPr>
              <w:t xml:space="preserve"> semanas 3SCT)</w:t>
            </w:r>
          </w:p>
          <w:p w14:paraId="65AF6BD4" w14:textId="77777777" w:rsidR="00716442" w:rsidRPr="00E55A36" w:rsidRDefault="00716442" w:rsidP="00716442">
            <w:pPr>
              <w:pStyle w:val="Prrafodelista"/>
              <w:spacing w:after="0" w:line="240" w:lineRule="auto"/>
              <w:ind w:left="426"/>
            </w:pPr>
            <w:r w:rsidRPr="00E55A36">
              <w:t>Modificado de acuerdo a la duración del semestre de 16 sesiones para el segundo semestre 2020</w:t>
            </w:r>
          </w:p>
        </w:tc>
        <w:tc>
          <w:tcPr>
            <w:tcW w:w="6662" w:type="dxa"/>
          </w:tcPr>
          <w:p w14:paraId="15C88726" w14:textId="04ACC003" w:rsidR="00E55A36" w:rsidRPr="00E55A36" w:rsidRDefault="0021169A" w:rsidP="00E55A36">
            <w:pPr>
              <w:spacing w:after="0" w:line="240" w:lineRule="auto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3</w:t>
            </w:r>
            <w:r w:rsidR="00E55A36" w:rsidRPr="00E55A36">
              <w:rPr>
                <w:rFonts w:eastAsia="Times New Roman"/>
                <w:lang w:eastAsia="es-ES"/>
              </w:rPr>
              <w:t>SC</w:t>
            </w:r>
            <w:r>
              <w:rPr>
                <w:rFonts w:eastAsia="Times New Roman"/>
                <w:lang w:eastAsia="es-ES"/>
              </w:rPr>
              <w:t>T</w:t>
            </w:r>
          </w:p>
          <w:p w14:paraId="48F57C32" w14:textId="77777777" w:rsidR="006507D4" w:rsidRPr="00E55A36" w:rsidRDefault="006507D4" w:rsidP="006507D4">
            <w:pPr>
              <w:spacing w:after="0" w:line="240" w:lineRule="auto"/>
            </w:pPr>
          </w:p>
        </w:tc>
      </w:tr>
      <w:tr w:rsidR="006507D4" w:rsidRPr="00E55A36" w14:paraId="378035BB" w14:textId="77777777" w:rsidTr="00CD6446">
        <w:tc>
          <w:tcPr>
            <w:tcW w:w="3085" w:type="dxa"/>
          </w:tcPr>
          <w:p w14:paraId="7DE2A204" w14:textId="77777777" w:rsidR="006507D4" w:rsidRPr="00E55A3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>N</w:t>
            </w:r>
            <w:r w:rsidR="006507D4" w:rsidRPr="00E55A36">
              <w:t>ivel</w:t>
            </w:r>
          </w:p>
        </w:tc>
        <w:tc>
          <w:tcPr>
            <w:tcW w:w="6662" w:type="dxa"/>
          </w:tcPr>
          <w:p w14:paraId="7A6E7D3E" w14:textId="77777777" w:rsidR="00E55A36" w:rsidRPr="00E55A36" w:rsidRDefault="00E55A36" w:rsidP="00E55A36">
            <w:pPr>
              <w:spacing w:after="0" w:line="240" w:lineRule="auto"/>
              <w:rPr>
                <w:rFonts w:eastAsia="Times New Roman"/>
                <w:lang w:eastAsia="es-ES"/>
              </w:rPr>
            </w:pPr>
            <w:r w:rsidRPr="00E55A36">
              <w:rPr>
                <w:rFonts w:eastAsia="Times New Roman"/>
                <w:lang w:eastAsia="es-ES"/>
              </w:rPr>
              <w:t>2º a 7º semestre</w:t>
            </w:r>
          </w:p>
          <w:p w14:paraId="7BC7B539" w14:textId="77777777" w:rsidR="006507D4" w:rsidRPr="00E55A36" w:rsidRDefault="006507D4" w:rsidP="006507D4">
            <w:pPr>
              <w:spacing w:after="0" w:line="240" w:lineRule="auto"/>
            </w:pPr>
          </w:p>
        </w:tc>
      </w:tr>
      <w:tr w:rsidR="006507D4" w:rsidRPr="00E55A36" w14:paraId="319051E7" w14:textId="77777777" w:rsidTr="00CD6446">
        <w:tc>
          <w:tcPr>
            <w:tcW w:w="3085" w:type="dxa"/>
          </w:tcPr>
          <w:p w14:paraId="4C9A21AC" w14:textId="77777777" w:rsidR="006507D4" w:rsidRPr="00E55A3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>Línea formativa a</w:t>
            </w:r>
          </w:p>
          <w:p w14:paraId="500A9C0D" w14:textId="77777777" w:rsidR="006507D4" w:rsidRPr="00E55A36" w:rsidRDefault="006507D4" w:rsidP="006507D4">
            <w:pPr>
              <w:spacing w:after="0" w:line="240" w:lineRule="auto"/>
            </w:pPr>
            <w:r w:rsidRPr="00E55A36">
              <w:t xml:space="preserve">      la que contribuye</w:t>
            </w:r>
          </w:p>
        </w:tc>
        <w:tc>
          <w:tcPr>
            <w:tcW w:w="6662" w:type="dxa"/>
          </w:tcPr>
          <w:p w14:paraId="42116D06" w14:textId="77777777" w:rsidR="006507D4" w:rsidRPr="00E55A36" w:rsidRDefault="00E55A36" w:rsidP="007F3500">
            <w:pPr>
              <w:spacing w:after="0" w:line="240" w:lineRule="auto"/>
            </w:pPr>
            <w:r w:rsidRPr="00E55A36">
              <w:t xml:space="preserve">Comunicación e Identidad </w:t>
            </w:r>
          </w:p>
        </w:tc>
      </w:tr>
      <w:tr w:rsidR="00CD6446" w:rsidRPr="00E55A36" w14:paraId="75581D6F" w14:textId="77777777" w:rsidTr="00CD6446">
        <w:tc>
          <w:tcPr>
            <w:tcW w:w="3085" w:type="dxa"/>
          </w:tcPr>
          <w:p w14:paraId="08A2D2C7" w14:textId="77777777" w:rsidR="00CD6446" w:rsidRPr="00E55A36" w:rsidRDefault="00CD6446" w:rsidP="00CD644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 xml:space="preserve">Relación curricular </w:t>
            </w:r>
            <w:r w:rsidRPr="00E55A36">
              <w:rPr>
                <w:color w:val="808080" w:themeColor="background1" w:themeShade="80"/>
              </w:rPr>
              <w:t>(con otros cursos de Formación Básica,  ¿cuáles?)</w:t>
            </w:r>
            <w:r w:rsidR="00716442" w:rsidRPr="00E55A36">
              <w:rPr>
                <w:color w:val="000000" w:themeColor="text1"/>
              </w:rPr>
              <w:t>. A qué cursos tributa.</w:t>
            </w:r>
          </w:p>
        </w:tc>
        <w:tc>
          <w:tcPr>
            <w:tcW w:w="6662" w:type="dxa"/>
          </w:tcPr>
          <w:p w14:paraId="697CD72F" w14:textId="77777777" w:rsidR="00CD6446" w:rsidRPr="00E55A36" w:rsidRDefault="00E55A36" w:rsidP="00E65F78">
            <w:pPr>
              <w:spacing w:after="0" w:line="240" w:lineRule="auto"/>
            </w:pPr>
            <w:r w:rsidRPr="00E55A36">
              <w:t>Discurso y significación; Teoría Crítica; Estudios Culturales y Comunicación</w:t>
            </w:r>
          </w:p>
        </w:tc>
      </w:tr>
      <w:tr w:rsidR="003C0C22" w:rsidRPr="00E55A36" w14:paraId="5A257B0F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2B9" w14:textId="77777777" w:rsidR="003C0C22" w:rsidRPr="00E55A3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 xml:space="preserve">Responsable (s) de </w:t>
            </w:r>
            <w:r w:rsidR="003C0C22" w:rsidRPr="00E55A3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3686" w14:textId="77777777" w:rsidR="003C0C22" w:rsidRPr="00E55A36" w:rsidRDefault="00E55A36" w:rsidP="003C0C22">
            <w:pPr>
              <w:spacing w:after="0" w:line="240" w:lineRule="auto"/>
            </w:pPr>
            <w:r w:rsidRPr="00E55A36">
              <w:t>Dra. Ximena Póo F.</w:t>
            </w:r>
          </w:p>
        </w:tc>
      </w:tr>
      <w:tr w:rsidR="00EC5031" w:rsidRPr="00E55A36" w14:paraId="7BDAE2F3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A1E" w14:textId="77777777" w:rsidR="00EC5031" w:rsidRPr="00E55A36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>Carácter</w:t>
            </w:r>
            <w:r w:rsidR="000D2444" w:rsidRPr="00E55A36"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B1C6" w14:textId="77777777" w:rsidR="00EC5031" w:rsidRPr="00E55A36" w:rsidRDefault="00E55A36" w:rsidP="003C0C22">
            <w:pPr>
              <w:spacing w:after="0" w:line="240" w:lineRule="auto"/>
              <w:rPr>
                <w:rFonts w:eastAsia="Times New Roman"/>
                <w:lang w:eastAsia="es-ES"/>
              </w:rPr>
            </w:pPr>
            <w:r w:rsidRPr="00E55A36">
              <w:rPr>
                <w:rFonts w:eastAsia="Times New Roman"/>
                <w:lang w:eastAsia="es-ES"/>
              </w:rPr>
              <w:t>Las relaciones entre migraciones y comunicación construyen espacios de redes transnacionales; redes entre migrantes en países de llegada y espacios entre migrantes y la sociedad en que articulan nuevos lugares de significación. Se trata de un curso que vincula los estudios culturales críticos con los estudios de la comunicación y sus expresiones a partir de materialidades relacionadas con el periodismo y el cine.</w:t>
            </w:r>
          </w:p>
        </w:tc>
      </w:tr>
      <w:tr w:rsidR="00EC5031" w:rsidRPr="00E55A36" w14:paraId="72E5ACFC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54F" w14:textId="77777777" w:rsidR="00EC5031" w:rsidRPr="00E55A36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 xml:space="preserve">Función </w:t>
            </w:r>
            <w:r w:rsidRPr="00E55A36"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D315" w14:textId="77777777" w:rsidR="00EC5031" w:rsidRPr="00E55A36" w:rsidRDefault="00E55A36" w:rsidP="00242FBB">
            <w:pPr>
              <w:spacing w:after="0" w:line="240" w:lineRule="auto"/>
            </w:pPr>
            <w:r w:rsidRPr="00E55A36">
              <w:t>Complementación</w:t>
            </w:r>
          </w:p>
        </w:tc>
      </w:tr>
      <w:tr w:rsidR="004F1000" w:rsidRPr="00E55A36" w14:paraId="4DBDF988" w14:textId="77777777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3003" w14:textId="77777777" w:rsidR="004F1000" w:rsidRPr="00E55A36" w:rsidRDefault="004F1000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E55A36">
              <w:t>Tipo de electivo</w:t>
            </w:r>
          </w:p>
          <w:p w14:paraId="1D80D5A8" w14:textId="77777777" w:rsidR="004F1000" w:rsidRPr="00E55A36" w:rsidRDefault="004F1000" w:rsidP="004F1000">
            <w:pPr>
              <w:pStyle w:val="Prrafodelista"/>
              <w:spacing w:after="0" w:line="240" w:lineRule="auto"/>
              <w:ind w:left="426"/>
            </w:pPr>
            <w:r w:rsidRPr="00E55A36"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5D87" w14:textId="11646C45" w:rsidR="004F1000" w:rsidRPr="00E55A36" w:rsidRDefault="00CB6716" w:rsidP="003C0C22">
            <w:pPr>
              <w:spacing w:after="0" w:line="240" w:lineRule="auto"/>
            </w:pPr>
            <w:r>
              <w:t>Curso lectivo</w:t>
            </w:r>
            <w:bookmarkStart w:id="0" w:name="_GoBack"/>
            <w:bookmarkEnd w:id="0"/>
          </w:p>
        </w:tc>
      </w:tr>
      <w:tr w:rsidR="00CD6446" w:rsidRPr="00E55A36" w14:paraId="29E0AFC6" w14:textId="77777777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A90E" w14:textId="77777777" w:rsidR="00CD6446" w:rsidRPr="00E55A3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E55A36">
              <w:t xml:space="preserve">Propósito general del curso </w:t>
            </w:r>
          </w:p>
          <w:p w14:paraId="75D43EF9" w14:textId="77777777" w:rsidR="00CD6446" w:rsidRPr="00E55A36" w:rsidRDefault="00CD6446" w:rsidP="00CD6446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 w:rsidRPr="00E55A36"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14:paraId="6A80BBD5" w14:textId="77777777" w:rsidR="00CD6446" w:rsidRPr="00E55A36" w:rsidRDefault="00CD6446" w:rsidP="00CD6446">
            <w:pPr>
              <w:spacing w:after="0" w:line="240" w:lineRule="auto"/>
            </w:pPr>
          </w:p>
          <w:p w14:paraId="67B2D170" w14:textId="77777777" w:rsidR="00CD6446" w:rsidRPr="00E55A36" w:rsidRDefault="00CD6446" w:rsidP="00CD6446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A794" w14:textId="77777777" w:rsidR="00E55A36" w:rsidRPr="00E55A36" w:rsidRDefault="00E55A36" w:rsidP="00E55A36">
            <w:pPr>
              <w:spacing w:after="0" w:line="240" w:lineRule="auto"/>
              <w:jc w:val="both"/>
              <w:rPr>
                <w:rFonts w:eastAsia="Times New Roman"/>
                <w:lang w:eastAsia="es-ES"/>
              </w:rPr>
            </w:pPr>
            <w:r w:rsidRPr="00E55A36">
              <w:rPr>
                <w:rFonts w:eastAsia="Times New Roman"/>
                <w:lang w:eastAsia="es-ES"/>
              </w:rPr>
              <w:t>1. Reconocer los espacios de comunicación que se construyen entre espacios migratorios. 2. Analizar los elementos distintivos de esa comunicación: transnacional, situada en contexto urbano, mediática, cultural, política y social. 3. Establecer parámetros para expresarse creativamente (periodismo y cine) al trabajar este tipo de campo de estudio a partir de experiencias y materialidades culturales. 4. Desarrollar conciencia crítica y buenas prácticas al abordar</w:t>
            </w:r>
            <w:r>
              <w:rPr>
                <w:rFonts w:eastAsia="Times New Roman"/>
                <w:lang w:eastAsia="es-ES"/>
              </w:rPr>
              <w:t xml:space="preserve"> las migraciones (prácticas anti</w:t>
            </w:r>
            <w:r w:rsidRPr="00E55A36">
              <w:rPr>
                <w:rFonts w:eastAsia="Times New Roman"/>
                <w:lang w:eastAsia="es-ES"/>
              </w:rPr>
              <w:t>racistas, por ejemplo, situasda territorialmente), especialmente las latinoamericanas y caribeñas recientes hacia Chile</w:t>
            </w:r>
            <w:r>
              <w:rPr>
                <w:rFonts w:eastAsia="Times New Roman"/>
                <w:lang w:eastAsia="es-ES"/>
              </w:rPr>
              <w:t>.</w:t>
            </w:r>
          </w:p>
          <w:p w14:paraId="3D3EB634" w14:textId="77777777" w:rsidR="00CD6446" w:rsidRPr="00E55A36" w:rsidRDefault="00CD6446" w:rsidP="003C0C22">
            <w:pPr>
              <w:spacing w:after="0" w:line="240" w:lineRule="auto"/>
            </w:pPr>
          </w:p>
        </w:tc>
      </w:tr>
      <w:tr w:rsidR="00CD6446" w:rsidRPr="00E55A36" w14:paraId="6F17AE02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1254" w14:textId="77777777" w:rsidR="00CD6446" w:rsidRPr="00E55A3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E55A36">
              <w:lastRenderedPageBreak/>
              <w:t xml:space="preserve">Contenidos </w:t>
            </w:r>
          </w:p>
          <w:p w14:paraId="1BFFDA5D" w14:textId="77777777" w:rsidR="00CD6446" w:rsidRPr="00E55A36" w:rsidRDefault="00CD6446" w:rsidP="00CD6446">
            <w:pPr>
              <w:pStyle w:val="Prrafodelista"/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606" w14:textId="761F1111" w:rsidR="0073111A" w:rsidRPr="0073111A" w:rsidRDefault="0073111A" w:rsidP="0073111A">
            <w:pPr>
              <w:spacing w:after="0" w:line="240" w:lineRule="auto"/>
            </w:pPr>
            <w:r w:rsidRPr="0073111A">
              <w:t>- Comunicación y migraciones. - Diálogos interculturales para la construcción de sujetos/as políticos/as en contexto histórico (momento constituyente). - Territorios, ciudades y migraciones en Chile, Estados Unidos América Latina y Europa: el papel de los relatos en la configuración de espacios de derecho</w:t>
            </w:r>
            <w:r>
              <w:t xml:space="preserve"> en refugio y migración</w:t>
            </w:r>
            <w:r w:rsidRPr="0073111A">
              <w:t>.</w:t>
            </w:r>
          </w:p>
          <w:p w14:paraId="4168DDF4" w14:textId="77777777" w:rsidR="00CD6446" w:rsidRPr="00E55A36" w:rsidRDefault="00CD6446" w:rsidP="00E65F78">
            <w:pPr>
              <w:spacing w:after="0" w:line="240" w:lineRule="auto"/>
            </w:pPr>
          </w:p>
        </w:tc>
      </w:tr>
      <w:tr w:rsidR="00CD6446" w:rsidRPr="00E55A36" w14:paraId="1B303305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70CB" w14:textId="77777777" w:rsidR="00CD6446" w:rsidRPr="00E55A3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E55A36"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D625" w14:textId="1B4A8CD9" w:rsidR="00CD6446" w:rsidRPr="00E55A36" w:rsidRDefault="0073111A" w:rsidP="0073111A">
            <w:pPr>
              <w:spacing w:after="0" w:line="240" w:lineRule="auto"/>
            </w:pPr>
            <w:r w:rsidRPr="00093B10">
              <w:rPr>
                <w:rFonts w:eastAsia="Times New Roman"/>
                <w:lang w:eastAsia="es-ES"/>
              </w:rPr>
              <w:t>Expositivas, participativas, estudios de caso, visualizaciones, lecturas asociadas, entrevistas con invitados/as nacionales e internacionales (academia y organizaciones de migrantes)</w:t>
            </w:r>
            <w:r w:rsidR="00093B10">
              <w:rPr>
                <w:rFonts w:eastAsia="Times New Roman"/>
                <w:lang w:eastAsia="es-ES"/>
              </w:rPr>
              <w:t>.</w:t>
            </w:r>
          </w:p>
        </w:tc>
      </w:tr>
      <w:tr w:rsidR="00CD6446" w:rsidRPr="00E55A36" w14:paraId="09A86104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F7AC" w14:textId="77777777" w:rsidR="00CD6446" w:rsidRPr="00E55A36" w:rsidRDefault="00CD6446" w:rsidP="00093B1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  <w:jc w:val="both"/>
            </w:pPr>
            <w:r w:rsidRPr="00E55A36">
              <w:t xml:space="preserve">Curriculum profesional reducido </w:t>
            </w:r>
            <w:r w:rsidRPr="00E55A36">
              <w:rPr>
                <w:color w:val="808080" w:themeColor="background1" w:themeShade="80"/>
              </w:rPr>
              <w:t>(describa línea de investigación o interés, no  más de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E6F3" w14:textId="55182B86" w:rsidR="00093B10" w:rsidRPr="00093B10" w:rsidRDefault="00093B10" w:rsidP="00093B10">
            <w:pPr>
              <w:spacing w:after="0" w:line="240" w:lineRule="auto"/>
              <w:jc w:val="both"/>
            </w:pPr>
            <w:r w:rsidRPr="00093B10">
              <w:t xml:space="preserve">Doctora en Estudios Latinoamericanos por la Facultad de Filosofía y Humanidades de la Universidad de Chile y Magíster en Relaciones Internacionales y Comunicación por la Universidad Complutense de Madrid, Periodista y Licenciada en Comunicación por la Universidad Austral de Chile. </w:t>
            </w:r>
            <w:r>
              <w:t>Profesora asociada</w:t>
            </w:r>
            <w:r w:rsidRPr="00093B10">
              <w:t xml:space="preserve"> en el Instituto de la Comunicación e Imagen (ICEI) de la Universidad de Chile</w:t>
            </w:r>
            <w:r>
              <w:t xml:space="preserve"> (desde 2004). </w:t>
            </w:r>
            <w:r w:rsidRPr="00093B10">
              <w:t>Forma parte de la Cátedra Racismos y Migraciones Contemporáneas de la U. de chile, y es co-coordinadora del GT15 de la Asociación Latinoamericana de Investigadores en Comunicación (ALAIC) sobre Comunicación y Ciudad.</w:t>
            </w:r>
            <w:r>
              <w:t xml:space="preserve"> Es parte del Consejo Académico del Grupo Migraciones Internacionales de Latin American Studies Association (LASA). D</w:t>
            </w:r>
            <w:r w:rsidRPr="00093B10">
              <w:t>irigió la Escuela de Periodismo</w:t>
            </w:r>
            <w:r>
              <w:t xml:space="preserve">  (ICEI de la U. de Chile)</w:t>
            </w:r>
            <w:r w:rsidRPr="00093B10">
              <w:t xml:space="preserve"> desde 2008 hasta 2014, habiendo sido su jefa de carrera desde 2005. Entre 2014 y junio de 2015 fue directora de Relaciones Internacionales en el ICEI. Desde julio de 2015 </w:t>
            </w:r>
            <w:r>
              <w:t>hasta abril de 2020 fue</w:t>
            </w:r>
            <w:r w:rsidRPr="00093B10">
              <w:t xml:space="preserve"> Directora de Extensión en la Vicerrectoría de Extensión y Comunicaci</w:t>
            </w:r>
            <w:r>
              <w:t>ones de la Universidad de Chile; desde abril de 2020 es Directora de Extensión y Comunicaciones en el ICEI.</w:t>
            </w:r>
            <w:r w:rsidRPr="00093B10">
              <w:t xml:space="preserve"> Es profesora del Magíster en Comunicación Social, el Magíster en Co</w:t>
            </w:r>
            <w:r>
              <w:t xml:space="preserve">municación Política, del Diplomado en Gestión Cultural y Comunicación, </w:t>
            </w:r>
            <w:r w:rsidRPr="00093B10">
              <w:t xml:space="preserve">y el Diplomado en Periodismo Cultural, Crítica y Edición de Libros. Asimismo, </w:t>
            </w:r>
            <w:r>
              <w:t xml:space="preserve">codirigió entre 2013 y 2018 el </w:t>
            </w:r>
            <w:r w:rsidRPr="00093B10">
              <w:t xml:space="preserve">Núcleo de Investigación "Vidas Cotidianas en Emergencia: territorios, habitantes y prácticas". Ha escrito y coordinado publicaciones académicas </w:t>
            </w:r>
            <w:r>
              <w:t xml:space="preserve">(artículos, libros y capítulos de libros) </w:t>
            </w:r>
            <w:r w:rsidRPr="00093B10">
              <w:t>sobre ciudades, movimientos sociales,</w:t>
            </w:r>
            <w:r>
              <w:t xml:space="preserve"> getsión cultural universitaria,</w:t>
            </w:r>
            <w:r w:rsidRPr="00093B10">
              <w:t xml:space="preserve"> </w:t>
            </w:r>
            <w:r>
              <w:t xml:space="preserve">memoia y Derechos Humanos, </w:t>
            </w:r>
            <w:r w:rsidRPr="00093B10">
              <w:t xml:space="preserve">representaciones y narrativas periodísticas, migraciones y comunicación e identidades. </w:t>
            </w:r>
          </w:p>
          <w:p w14:paraId="69274571" w14:textId="77777777" w:rsidR="00E65F78" w:rsidRPr="00E55A36" w:rsidRDefault="00E65F78" w:rsidP="00093B10">
            <w:pPr>
              <w:spacing w:after="0" w:line="240" w:lineRule="auto"/>
              <w:jc w:val="both"/>
            </w:pPr>
          </w:p>
          <w:p w14:paraId="229FF697" w14:textId="77777777" w:rsidR="00E65F78" w:rsidRPr="00E55A36" w:rsidRDefault="00E65F78" w:rsidP="00093B10">
            <w:pPr>
              <w:spacing w:after="0" w:line="240" w:lineRule="auto"/>
              <w:jc w:val="both"/>
            </w:pPr>
          </w:p>
          <w:p w14:paraId="6DC3BFF7" w14:textId="77777777" w:rsidR="00CD6446" w:rsidRPr="00E55A36" w:rsidRDefault="00CD6446" w:rsidP="00093B10">
            <w:pPr>
              <w:spacing w:after="0" w:line="240" w:lineRule="auto"/>
              <w:jc w:val="both"/>
            </w:pPr>
          </w:p>
        </w:tc>
      </w:tr>
    </w:tbl>
    <w:p w14:paraId="1B9E9AB7" w14:textId="77777777" w:rsidR="008F6847" w:rsidRPr="00E55A36" w:rsidRDefault="008F6847" w:rsidP="00093B10">
      <w:pPr>
        <w:jc w:val="both"/>
        <w:rPr>
          <w:color w:val="FF0000"/>
          <w:lang w:val="es-ES"/>
        </w:rPr>
      </w:pPr>
    </w:p>
    <w:sectPr w:rsidR="008F6847" w:rsidRPr="00E55A36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937D7"/>
    <w:rsid w:val="00093B10"/>
    <w:rsid w:val="000D2444"/>
    <w:rsid w:val="000E093C"/>
    <w:rsid w:val="0011732C"/>
    <w:rsid w:val="001423C3"/>
    <w:rsid w:val="001606F0"/>
    <w:rsid w:val="001613F6"/>
    <w:rsid w:val="001828F8"/>
    <w:rsid w:val="00186E1C"/>
    <w:rsid w:val="001C17B2"/>
    <w:rsid w:val="001D59F3"/>
    <w:rsid w:val="0021169A"/>
    <w:rsid w:val="00242FBB"/>
    <w:rsid w:val="00265C77"/>
    <w:rsid w:val="002750FF"/>
    <w:rsid w:val="002B2B7F"/>
    <w:rsid w:val="002C7004"/>
    <w:rsid w:val="002E4AA5"/>
    <w:rsid w:val="00306C1C"/>
    <w:rsid w:val="00324A22"/>
    <w:rsid w:val="003863AD"/>
    <w:rsid w:val="0038683E"/>
    <w:rsid w:val="003C0C22"/>
    <w:rsid w:val="003C18D4"/>
    <w:rsid w:val="003C618D"/>
    <w:rsid w:val="00402473"/>
    <w:rsid w:val="004A761D"/>
    <w:rsid w:val="004D020F"/>
    <w:rsid w:val="004F1000"/>
    <w:rsid w:val="00506034"/>
    <w:rsid w:val="005522A3"/>
    <w:rsid w:val="005F3C35"/>
    <w:rsid w:val="0062007A"/>
    <w:rsid w:val="006507D4"/>
    <w:rsid w:val="007117B7"/>
    <w:rsid w:val="00716442"/>
    <w:rsid w:val="0073111A"/>
    <w:rsid w:val="0075505A"/>
    <w:rsid w:val="007A41A9"/>
    <w:rsid w:val="007F3500"/>
    <w:rsid w:val="0087100E"/>
    <w:rsid w:val="008F6847"/>
    <w:rsid w:val="009745B8"/>
    <w:rsid w:val="009F6082"/>
    <w:rsid w:val="00A45668"/>
    <w:rsid w:val="00A50383"/>
    <w:rsid w:val="00A969B8"/>
    <w:rsid w:val="00AF4544"/>
    <w:rsid w:val="00AF6C63"/>
    <w:rsid w:val="00B41367"/>
    <w:rsid w:val="00B65645"/>
    <w:rsid w:val="00B908CA"/>
    <w:rsid w:val="00BE7B21"/>
    <w:rsid w:val="00C81D7C"/>
    <w:rsid w:val="00CB6716"/>
    <w:rsid w:val="00CC2819"/>
    <w:rsid w:val="00CD6446"/>
    <w:rsid w:val="00D44220"/>
    <w:rsid w:val="00DE204A"/>
    <w:rsid w:val="00DF2D7C"/>
    <w:rsid w:val="00E03D6C"/>
    <w:rsid w:val="00E55A36"/>
    <w:rsid w:val="00E65F78"/>
    <w:rsid w:val="00E94C71"/>
    <w:rsid w:val="00EC5031"/>
    <w:rsid w:val="00EF6FF6"/>
    <w:rsid w:val="00F15F1A"/>
    <w:rsid w:val="00F33C3E"/>
    <w:rsid w:val="00F76F31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D523641"/>
  <w15:docId w15:val="{2F55EC60-EC98-7E4A-BD77-BB26D3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1355-30D1-B848-8F8C-F3F60EDF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3</cp:revision>
  <cp:lastPrinted>2016-12-02T15:00:00Z</cp:lastPrinted>
  <dcterms:created xsi:type="dcterms:W3CDTF">2020-08-14T21:47:00Z</dcterms:created>
  <dcterms:modified xsi:type="dcterms:W3CDTF">2020-08-14T21:49:00Z</dcterms:modified>
</cp:coreProperties>
</file>