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025A6" w14:textId="77777777" w:rsidR="00B83E21" w:rsidRDefault="00B83E21" w:rsidP="00B83E21">
      <w:pPr>
        <w:spacing w:line="276" w:lineRule="auto"/>
        <w:jc w:val="center"/>
        <w:rPr>
          <w:rFonts w:ascii="Cambria" w:hAnsi="Cambria"/>
          <w:b/>
          <w:sz w:val="24"/>
        </w:rPr>
      </w:pPr>
    </w:p>
    <w:p w14:paraId="2A7B1186" w14:textId="38A78DC9" w:rsidR="00DF4859" w:rsidRPr="00DF4859" w:rsidRDefault="002303A5" w:rsidP="00DF4859">
      <w:pPr>
        <w:spacing w:line="276" w:lineRule="auto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Síntesis sobre las Bitácoras de Aprendizaje</w:t>
      </w:r>
    </w:p>
    <w:p w14:paraId="3C064C9B" w14:textId="1B578CC5" w:rsidR="00DF4859" w:rsidRPr="00DF4859" w:rsidRDefault="00DF4859" w:rsidP="00DF4859">
      <w:pPr>
        <w:spacing w:line="276" w:lineRule="auto"/>
        <w:jc w:val="center"/>
        <w:rPr>
          <w:rFonts w:ascii="Cambria" w:hAnsi="Cambria"/>
          <w:i/>
        </w:rPr>
      </w:pPr>
      <w:r w:rsidRPr="00DF4859">
        <w:rPr>
          <w:rFonts w:ascii="Cambria" w:hAnsi="Cambria"/>
          <w:i/>
        </w:rPr>
        <w:t>Melania Del Campo Faúndez</w:t>
      </w:r>
      <w:r w:rsidR="002303A5">
        <w:rPr>
          <w:rFonts w:ascii="Cambria" w:hAnsi="Cambria"/>
          <w:i/>
        </w:rPr>
        <w:t xml:space="preserve"> - </w:t>
      </w:r>
      <w:r w:rsidRPr="00DF4859">
        <w:rPr>
          <w:rFonts w:ascii="Cambria" w:hAnsi="Cambria"/>
          <w:i/>
        </w:rPr>
        <w:t xml:space="preserve">Psicopedagogía </w:t>
      </w:r>
      <w:r w:rsidRPr="00DF4859">
        <w:rPr>
          <w:rFonts w:ascii="Cambria" w:hAnsi="Cambria"/>
          <w:i/>
        </w:rPr>
        <w:br/>
        <w:t>Centro de Aprendizaje Campus Sur – Universidad de Chile</w:t>
      </w:r>
      <w:r w:rsidRPr="00DF4859">
        <w:rPr>
          <w:rFonts w:ascii="Cambria" w:hAnsi="Cambria"/>
          <w:i/>
        </w:rPr>
        <w:br/>
      </w:r>
      <w:r w:rsidR="00C151A7" w:rsidRPr="00DF4859">
        <w:rPr>
          <w:rFonts w:ascii="Cambria" w:hAnsi="Cambria"/>
          <w:i/>
        </w:rPr>
        <w:t>abril</w:t>
      </w:r>
      <w:r w:rsidRPr="00DF4859">
        <w:rPr>
          <w:rFonts w:ascii="Cambria" w:hAnsi="Cambria"/>
          <w:i/>
        </w:rPr>
        <w:t xml:space="preserve"> 2017</w:t>
      </w:r>
      <w:r w:rsidRPr="00DF4859">
        <w:rPr>
          <w:rFonts w:ascii="Cambria" w:hAnsi="Cambria"/>
          <w:noProof/>
          <w:lang w:eastAsia="es-CL"/>
        </w:rPr>
        <w:t xml:space="preserve"> </w:t>
      </w:r>
    </w:p>
    <w:p w14:paraId="349AFB62" w14:textId="28F8AC08" w:rsidR="003D0F08" w:rsidRDefault="002303A5" w:rsidP="002303A5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Una </w:t>
      </w:r>
      <w:r w:rsidR="00270615">
        <w:rPr>
          <w:rFonts w:ascii="Cambria" w:hAnsi="Cambria"/>
        </w:rPr>
        <w:t xml:space="preserve">bitácora </w:t>
      </w:r>
      <w:r>
        <w:rPr>
          <w:rFonts w:ascii="Cambria" w:hAnsi="Cambria"/>
        </w:rPr>
        <w:t xml:space="preserve">de aprendizaje </w:t>
      </w:r>
      <w:r w:rsidR="00270615">
        <w:rPr>
          <w:rFonts w:ascii="Cambria" w:hAnsi="Cambria"/>
        </w:rPr>
        <w:t xml:space="preserve">es un registro de datos objetivos </w:t>
      </w:r>
      <w:r w:rsidR="007A6409">
        <w:rPr>
          <w:rFonts w:ascii="Cambria" w:hAnsi="Cambria"/>
        </w:rPr>
        <w:t xml:space="preserve">situados de forma cronológica, </w:t>
      </w:r>
      <w:r w:rsidR="00270615">
        <w:rPr>
          <w:rFonts w:ascii="Cambria" w:hAnsi="Cambria"/>
        </w:rPr>
        <w:t>en que se da cuenta de hechos concretos que se realizan en una práctica</w:t>
      </w:r>
      <w:r>
        <w:rPr>
          <w:rFonts w:ascii="Cambria" w:hAnsi="Cambria"/>
        </w:rPr>
        <w:t xml:space="preserve">. Su </w:t>
      </w:r>
      <w:r w:rsidR="007A6409">
        <w:rPr>
          <w:rFonts w:ascii="Cambria" w:hAnsi="Cambria"/>
        </w:rPr>
        <w:t>construcción debe ser constante</w:t>
      </w:r>
      <w:r>
        <w:rPr>
          <w:rFonts w:ascii="Cambria" w:hAnsi="Cambria"/>
        </w:rPr>
        <w:t xml:space="preserve"> y debe también brindar </w:t>
      </w:r>
      <w:r w:rsidR="00270615">
        <w:rPr>
          <w:rFonts w:ascii="Cambria" w:hAnsi="Cambria"/>
        </w:rPr>
        <w:t>espacio para realizar un análisis reflexivo en base al accionar que se ha realizado</w:t>
      </w:r>
      <w:r>
        <w:rPr>
          <w:rFonts w:ascii="Cambria" w:hAnsi="Cambria"/>
        </w:rPr>
        <w:t xml:space="preserve">. Todo lo anterior, asegura la posibilidad de disponer de </w:t>
      </w:r>
      <w:r w:rsidR="00270615">
        <w:rPr>
          <w:rFonts w:ascii="Cambria" w:hAnsi="Cambria"/>
        </w:rPr>
        <w:t xml:space="preserve">información sobre el progreso personal y de </w:t>
      </w:r>
      <w:r>
        <w:rPr>
          <w:rFonts w:ascii="Cambria" w:hAnsi="Cambria"/>
        </w:rPr>
        <w:t xml:space="preserve">la </w:t>
      </w:r>
      <w:r w:rsidR="00270615">
        <w:rPr>
          <w:rFonts w:ascii="Cambria" w:hAnsi="Cambria"/>
        </w:rPr>
        <w:t>praxis.</w:t>
      </w:r>
    </w:p>
    <w:p w14:paraId="38AAAEB3" w14:textId="39680213" w:rsidR="004C626F" w:rsidRDefault="002303A5" w:rsidP="002303A5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Su </w:t>
      </w:r>
      <w:r w:rsidR="007A6409">
        <w:rPr>
          <w:rFonts w:ascii="Cambria" w:hAnsi="Cambria"/>
        </w:rPr>
        <w:t xml:space="preserve">forma </w:t>
      </w:r>
      <w:r>
        <w:rPr>
          <w:rFonts w:ascii="Cambria" w:hAnsi="Cambria"/>
        </w:rPr>
        <w:t xml:space="preserve">de evaluación es </w:t>
      </w:r>
      <w:r w:rsidR="007A6409">
        <w:rPr>
          <w:rFonts w:ascii="Cambria" w:hAnsi="Cambria"/>
        </w:rPr>
        <w:t>cualitativa</w:t>
      </w:r>
      <w:r w:rsidR="00844898">
        <w:rPr>
          <w:rFonts w:ascii="Cambria" w:hAnsi="Cambria"/>
        </w:rPr>
        <w:t xml:space="preserve"> y entrega la posibilidad de un seguimiento constante y concreto en base a las experiencias</w:t>
      </w:r>
      <w:r>
        <w:rPr>
          <w:rFonts w:ascii="Cambria" w:hAnsi="Cambria"/>
        </w:rPr>
        <w:t xml:space="preserve">, en tanto </w:t>
      </w:r>
      <w:r w:rsidR="00844898">
        <w:rPr>
          <w:rFonts w:ascii="Cambria" w:hAnsi="Cambria"/>
        </w:rPr>
        <w:t>“</w:t>
      </w:r>
      <w:r w:rsidR="004C626F">
        <w:rPr>
          <w:rFonts w:ascii="Cambria" w:hAnsi="Cambria"/>
        </w:rPr>
        <w:t>l</w:t>
      </w:r>
      <w:r w:rsidR="00844898" w:rsidRPr="00844898">
        <w:rPr>
          <w:rFonts w:ascii="Cambria" w:hAnsi="Cambria"/>
        </w:rPr>
        <w:t>a bitácora es una forma de comunicación</w:t>
      </w:r>
      <w:r w:rsidR="00844898">
        <w:rPr>
          <w:rFonts w:ascii="Cambria" w:hAnsi="Cambria"/>
        </w:rPr>
        <w:t xml:space="preserve"> </w:t>
      </w:r>
      <w:r w:rsidR="00844898" w:rsidRPr="00844898">
        <w:rPr>
          <w:rFonts w:ascii="Cambria" w:hAnsi="Cambria"/>
        </w:rPr>
        <w:t>con el es</w:t>
      </w:r>
      <w:r w:rsidR="00844898">
        <w:rPr>
          <w:rFonts w:ascii="Cambria" w:hAnsi="Cambria"/>
        </w:rPr>
        <w:t xml:space="preserve">tudiante en la que se involucra </w:t>
      </w:r>
      <w:r w:rsidR="00946F9A">
        <w:rPr>
          <w:rFonts w:ascii="Cambria" w:hAnsi="Cambria"/>
        </w:rPr>
        <w:t>como parte activa del</w:t>
      </w:r>
      <w:r w:rsidR="00844898" w:rsidRPr="00844898">
        <w:rPr>
          <w:rFonts w:ascii="Cambria" w:hAnsi="Cambria"/>
        </w:rPr>
        <w:t xml:space="preserve"> prop</w:t>
      </w:r>
      <w:r w:rsidR="00844898">
        <w:rPr>
          <w:rFonts w:ascii="Cambria" w:hAnsi="Cambria"/>
        </w:rPr>
        <w:t xml:space="preserve">io </w:t>
      </w:r>
      <w:r w:rsidR="00844898" w:rsidRPr="00844898">
        <w:rPr>
          <w:rFonts w:ascii="Cambria" w:hAnsi="Cambria"/>
        </w:rPr>
        <w:t>proc</w:t>
      </w:r>
      <w:r w:rsidR="00844898">
        <w:rPr>
          <w:rFonts w:ascii="Cambria" w:hAnsi="Cambria"/>
        </w:rPr>
        <w:t xml:space="preserve">eso de formación; su gestión es </w:t>
      </w:r>
      <w:r w:rsidR="00844898" w:rsidRPr="00844898">
        <w:rPr>
          <w:rFonts w:ascii="Cambria" w:hAnsi="Cambria"/>
        </w:rPr>
        <w:t>sencil</w:t>
      </w:r>
      <w:r w:rsidR="00844898">
        <w:rPr>
          <w:rFonts w:ascii="Cambria" w:hAnsi="Cambria"/>
        </w:rPr>
        <w:t xml:space="preserve">la, complementa las actividades </w:t>
      </w:r>
      <w:r w:rsidR="00844898" w:rsidRPr="00844898">
        <w:rPr>
          <w:rFonts w:ascii="Cambria" w:hAnsi="Cambria"/>
        </w:rPr>
        <w:t>presen</w:t>
      </w:r>
      <w:r w:rsidR="00844898">
        <w:rPr>
          <w:rFonts w:ascii="Cambria" w:hAnsi="Cambria"/>
        </w:rPr>
        <w:t xml:space="preserve">ciales, favorece la interacción </w:t>
      </w:r>
      <w:r w:rsidR="00844898" w:rsidRPr="00844898">
        <w:rPr>
          <w:rFonts w:ascii="Cambria" w:hAnsi="Cambria"/>
        </w:rPr>
        <w:t>d</w:t>
      </w:r>
      <w:r w:rsidR="00844898">
        <w:rPr>
          <w:rFonts w:ascii="Cambria" w:hAnsi="Cambria"/>
        </w:rPr>
        <w:t xml:space="preserve">ocente-estudiante y proporciona </w:t>
      </w:r>
      <w:r w:rsidR="00844898" w:rsidRPr="00844898">
        <w:rPr>
          <w:rFonts w:ascii="Cambria" w:hAnsi="Cambria"/>
        </w:rPr>
        <w:t xml:space="preserve">soporte </w:t>
      </w:r>
      <w:r w:rsidR="00844898">
        <w:rPr>
          <w:rFonts w:ascii="Cambria" w:hAnsi="Cambria"/>
        </w:rPr>
        <w:t xml:space="preserve">a las actividades de evaluación </w:t>
      </w:r>
      <w:r w:rsidR="00844898" w:rsidRPr="00844898">
        <w:rPr>
          <w:rFonts w:ascii="Cambria" w:hAnsi="Cambria"/>
        </w:rPr>
        <w:t>y retroalimentación</w:t>
      </w:r>
      <w:r w:rsidR="00844898">
        <w:rPr>
          <w:rFonts w:ascii="Cambria" w:hAnsi="Cambria"/>
        </w:rPr>
        <w:t xml:space="preserve">” </w:t>
      </w:r>
      <w:sdt>
        <w:sdtPr>
          <w:rPr>
            <w:rFonts w:ascii="Cambria" w:hAnsi="Cambria"/>
          </w:rPr>
          <w:id w:val="662132620"/>
          <w:citation/>
        </w:sdtPr>
        <w:sdtEndPr/>
        <w:sdtContent>
          <w:r w:rsidR="00844898">
            <w:rPr>
              <w:rFonts w:ascii="Cambria" w:hAnsi="Cambria"/>
            </w:rPr>
            <w:fldChar w:fldCharType="begin"/>
          </w:r>
          <w:r w:rsidR="00331BCE">
            <w:rPr>
              <w:rFonts w:ascii="Cambria" w:hAnsi="Cambria"/>
            </w:rPr>
            <w:instrText xml:space="preserve">CITATION Bar12 \l 13322 </w:instrText>
          </w:r>
          <w:r w:rsidR="00844898">
            <w:rPr>
              <w:rFonts w:ascii="Cambria" w:hAnsi="Cambria"/>
            </w:rPr>
            <w:fldChar w:fldCharType="separate"/>
          </w:r>
          <w:r w:rsidR="00331BCE" w:rsidRPr="00331BCE">
            <w:rPr>
              <w:rFonts w:ascii="Cambria" w:hAnsi="Cambria"/>
              <w:noProof/>
            </w:rPr>
            <w:t>(Barrios, Ruiz, &amp; González, 2012)</w:t>
          </w:r>
          <w:r w:rsidR="00844898">
            <w:rPr>
              <w:rFonts w:ascii="Cambria" w:hAnsi="Cambria"/>
            </w:rPr>
            <w:fldChar w:fldCharType="end"/>
          </w:r>
        </w:sdtContent>
      </w:sdt>
      <w:r w:rsidR="004C626F">
        <w:rPr>
          <w:rFonts w:ascii="Cambria" w:hAnsi="Cambria"/>
        </w:rPr>
        <w:t xml:space="preserve">, siendo un elemento pertinente y apropiado para cualquier contexto evaluativo que tenga relación con prácticas. </w:t>
      </w:r>
    </w:p>
    <w:p w14:paraId="3F236999" w14:textId="77777777" w:rsidR="00807ED5" w:rsidRDefault="00807ED5" w:rsidP="002303A5">
      <w:pPr>
        <w:spacing w:line="276" w:lineRule="auto"/>
        <w:jc w:val="both"/>
        <w:rPr>
          <w:rFonts w:ascii="Cambria" w:hAnsi="Cambria" w:cs="TimesNewRomanPSMT"/>
        </w:rPr>
      </w:pPr>
      <w:r>
        <w:rPr>
          <w:rFonts w:ascii="Cambria" w:hAnsi="Cambria" w:cs="TimesNewRomanPSMT"/>
        </w:rPr>
        <w:t xml:space="preserve">Existen diferentes tipos de bitácoras o diarios de campo en base a su construcción, sin embargo, para registrar de forma adecuada en relación a una práctica concreta, se estima conveniente que se arme un apartado de situaciones de forma objetiva, sin apreciaciones y/o descripciones personales, más bien, relato de los hechos que se han presentado durante el momento de la práctica y por otra parte, en base a la situación dada es primordial realizar un análisis reflexivo que permita dar evidencia de la perspectiva del estudiante ante la experiencia, como también, que se dé cuenta del aprendizaje obtenido. </w:t>
      </w:r>
    </w:p>
    <w:p w14:paraId="4C96E215" w14:textId="6503B3F4" w:rsidR="00DD1AC8" w:rsidRDefault="00DD1AC8" w:rsidP="002303A5">
      <w:pPr>
        <w:spacing w:line="276" w:lineRule="auto"/>
        <w:jc w:val="both"/>
        <w:rPr>
          <w:rFonts w:ascii="Cambria" w:hAnsi="Cambria" w:cs="TimesNewRomanPSMT"/>
        </w:rPr>
      </w:pPr>
      <w:r>
        <w:rPr>
          <w:rFonts w:ascii="Cambria" w:hAnsi="Cambria" w:cs="TimesNewRomanPSMT"/>
        </w:rPr>
        <w:t>Al instruir para la construcción de una bitácora, se debe dar cuenta del propósito que tiene la práctica</w:t>
      </w:r>
      <w:r w:rsidR="00B83E21">
        <w:rPr>
          <w:rFonts w:ascii="Cambria" w:hAnsi="Cambria" w:cs="TimesNewRomanPSMT"/>
        </w:rPr>
        <w:t>,</w:t>
      </w:r>
      <w:r>
        <w:rPr>
          <w:rFonts w:ascii="Cambria" w:hAnsi="Cambria" w:cs="TimesNewRomanPSMT"/>
        </w:rPr>
        <w:t xml:space="preserve"> con el fin de que los estudiantes sean quienes armen sus propios objetivos específicos en base a lo que deben lograr para la asignatura. Por tanto, el objetivo principal debe ir enmarcado en cualquier documento que se entregue al estudian</w:t>
      </w:r>
      <w:r w:rsidR="00E137D7">
        <w:rPr>
          <w:rFonts w:ascii="Cambria" w:hAnsi="Cambria" w:cs="TimesNewRomanPSMT"/>
        </w:rPr>
        <w:t xml:space="preserve">te </w:t>
      </w:r>
      <w:proofErr w:type="gramStart"/>
      <w:r w:rsidR="00E137D7">
        <w:rPr>
          <w:rFonts w:ascii="Cambria" w:hAnsi="Cambria" w:cs="TimesNewRomanPSMT"/>
        </w:rPr>
        <w:t>en relación a</w:t>
      </w:r>
      <w:proofErr w:type="gramEnd"/>
      <w:r w:rsidR="00E137D7">
        <w:rPr>
          <w:rFonts w:ascii="Cambria" w:hAnsi="Cambria" w:cs="TimesNewRomanPSMT"/>
        </w:rPr>
        <w:t xml:space="preserve"> su evaluación o a lo que debe realizar.</w:t>
      </w:r>
    </w:p>
    <w:p w14:paraId="3F37C4BA" w14:textId="53266BB0" w:rsidR="002303A5" w:rsidRPr="002303A5" w:rsidRDefault="002303A5" w:rsidP="002303A5">
      <w:pPr>
        <w:spacing w:line="240" w:lineRule="auto"/>
        <w:jc w:val="both"/>
        <w:rPr>
          <w:rFonts w:ascii="Cambria" w:hAnsi="Cambria" w:cs="TimesNewRomanPSMT"/>
          <w:b/>
        </w:rPr>
      </w:pPr>
      <w:r w:rsidRPr="002303A5">
        <w:rPr>
          <w:rFonts w:ascii="Cambria" w:hAnsi="Cambria" w:cs="TimesNewRomanPSMT"/>
          <w:b/>
        </w:rPr>
        <w:t>Referencias</w:t>
      </w:r>
    </w:p>
    <w:p w14:paraId="0FE8DAAA" w14:textId="77777777" w:rsidR="002303A5" w:rsidRPr="002303A5" w:rsidRDefault="002303A5" w:rsidP="002303A5">
      <w:pPr>
        <w:spacing w:line="240" w:lineRule="auto"/>
        <w:ind w:left="709" w:hanging="709"/>
        <w:jc w:val="both"/>
        <w:rPr>
          <w:rFonts w:ascii="Cambria" w:hAnsi="Cambria" w:cs="TimesNewRomanPSMT"/>
        </w:rPr>
      </w:pPr>
      <w:r w:rsidRPr="002303A5">
        <w:rPr>
          <w:rFonts w:ascii="Cambria" w:hAnsi="Cambria" w:cs="TimesNewRomanPSMT"/>
        </w:rPr>
        <w:t>Barrios, P., Ruiz, L., &amp; González, K. (2012). La bitácora como instrumento para seguimiento y evaluación. Obtenido de Red de Revistas Científicas de América Latina y el Caribe, España y Portugal.</w:t>
      </w:r>
      <w:bookmarkStart w:id="0" w:name="_GoBack"/>
      <w:bookmarkEnd w:id="0"/>
    </w:p>
    <w:p w14:paraId="73195B09" w14:textId="77777777" w:rsidR="002303A5" w:rsidRPr="002303A5" w:rsidRDefault="002303A5" w:rsidP="002303A5">
      <w:pPr>
        <w:spacing w:line="240" w:lineRule="auto"/>
        <w:ind w:left="709" w:hanging="709"/>
        <w:jc w:val="both"/>
        <w:rPr>
          <w:rFonts w:ascii="Cambria" w:hAnsi="Cambria" w:cs="TimesNewRomanPSMT"/>
        </w:rPr>
      </w:pPr>
      <w:r w:rsidRPr="002303A5">
        <w:rPr>
          <w:rFonts w:ascii="Cambria" w:hAnsi="Cambria" w:cs="TimesNewRomanPSMT"/>
        </w:rPr>
        <w:t xml:space="preserve">Elizondo, L., Ayala, F., Hernández, C., &amp; Medina, G. (2003). Los Fundamentos del uso del Portafolio de Evaluación en la Educación Médica. Obtenido de Escuela de Medicina del </w:t>
      </w:r>
      <w:proofErr w:type="spellStart"/>
      <w:r w:rsidRPr="002303A5">
        <w:rPr>
          <w:rFonts w:ascii="Cambria" w:hAnsi="Cambria" w:cs="TimesNewRomanPSMT"/>
        </w:rPr>
        <w:t>Tec</w:t>
      </w:r>
      <w:proofErr w:type="spellEnd"/>
      <w:r w:rsidRPr="002303A5">
        <w:rPr>
          <w:rFonts w:ascii="Cambria" w:hAnsi="Cambria" w:cs="TimesNewRomanPSMT"/>
        </w:rPr>
        <w:t xml:space="preserve"> de </w:t>
      </w:r>
      <w:proofErr w:type="spellStart"/>
      <w:r w:rsidRPr="002303A5">
        <w:rPr>
          <w:rFonts w:ascii="Cambria" w:hAnsi="Cambria" w:cs="TimesNewRomanPSMT"/>
        </w:rPr>
        <w:t>Monterry</w:t>
      </w:r>
      <w:proofErr w:type="spellEnd"/>
      <w:r w:rsidRPr="002303A5">
        <w:rPr>
          <w:rFonts w:ascii="Cambria" w:hAnsi="Cambria" w:cs="TimesNewRomanPSMT"/>
        </w:rPr>
        <w:t>.</w:t>
      </w:r>
    </w:p>
    <w:p w14:paraId="2EC659B6" w14:textId="77777777" w:rsidR="002303A5" w:rsidRPr="002303A5" w:rsidRDefault="002303A5" w:rsidP="002303A5">
      <w:pPr>
        <w:spacing w:line="240" w:lineRule="auto"/>
        <w:ind w:left="709" w:hanging="709"/>
        <w:jc w:val="both"/>
        <w:rPr>
          <w:rFonts w:ascii="Cambria" w:hAnsi="Cambria" w:cs="TimesNewRomanPSMT"/>
        </w:rPr>
      </w:pPr>
      <w:r w:rsidRPr="002303A5">
        <w:rPr>
          <w:rFonts w:ascii="Cambria" w:hAnsi="Cambria" w:cs="TimesNewRomanPSMT"/>
        </w:rPr>
        <w:t xml:space="preserve">Peris, M. (1996). Las actividades de aprendizaje en los manuales de español como lengua extranjera. Barcelona: </w:t>
      </w:r>
      <w:proofErr w:type="spellStart"/>
      <w:r w:rsidRPr="002303A5">
        <w:rPr>
          <w:rFonts w:ascii="Cambria" w:hAnsi="Cambria" w:cs="TimesNewRomanPSMT"/>
        </w:rPr>
        <w:t>Universitat</w:t>
      </w:r>
      <w:proofErr w:type="spellEnd"/>
      <w:r w:rsidRPr="002303A5">
        <w:rPr>
          <w:rFonts w:ascii="Cambria" w:hAnsi="Cambria" w:cs="TimesNewRomanPSMT"/>
        </w:rPr>
        <w:t xml:space="preserve"> de Barcelona.</w:t>
      </w:r>
    </w:p>
    <w:sectPr w:rsidR="002303A5" w:rsidRPr="002303A5" w:rsidSect="00B83E21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C7DDD" w14:textId="77777777" w:rsidR="00BD6E7A" w:rsidRDefault="00BD6E7A" w:rsidP="00AA1858">
      <w:pPr>
        <w:spacing w:after="0" w:line="240" w:lineRule="auto"/>
      </w:pPr>
      <w:r>
        <w:separator/>
      </w:r>
    </w:p>
  </w:endnote>
  <w:endnote w:type="continuationSeparator" w:id="0">
    <w:p w14:paraId="095A4422" w14:textId="77777777" w:rsidR="00BD6E7A" w:rsidRDefault="00BD6E7A" w:rsidP="00AA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846511"/>
      <w:docPartObj>
        <w:docPartGallery w:val="Page Numbers (Bottom of Page)"/>
        <w:docPartUnique/>
      </w:docPartObj>
    </w:sdtPr>
    <w:sdtEndPr/>
    <w:sdtContent>
      <w:p w14:paraId="24913700" w14:textId="77777777" w:rsidR="00AA1858" w:rsidRDefault="00AA1858">
        <w:pPr>
          <w:pStyle w:val="Piedepgina"/>
        </w:pPr>
        <w:r>
          <w:rPr>
            <w:noProof/>
            <w:lang w:eastAsia="es-C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9075104" wp14:editId="08BBE9D0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" name="Gru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2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C057E7F" w14:textId="12282E61" w:rsidR="00AA1858" w:rsidRDefault="00AA1858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303A5" w:rsidRPr="002303A5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075104" id="Grupo 1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b+UxQAAANoAAAAPAAAAZHJzL2Rvd25yZXYueG1sRI9Ba8JA&#10;FITvBf/D8oTe6sYK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D3Tb+UxQAAANoAAAAP&#10;AAAAAAAAAAAAAAAAAAcCAABkcnMvZG93bnJldi54bWxQSwUGAAAAAAMAAwC3AAAA+QIAAAAA&#10;" filled="f" strokecolor="#7f7f7f">
                    <v:textbox>
                      <w:txbxContent>
                        <w:p w14:paraId="2C057E7F" w14:textId="12282E61" w:rsidR="00AA1858" w:rsidRDefault="00AA1858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303A5" w:rsidRPr="002303A5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02127" w14:textId="77777777" w:rsidR="00BD6E7A" w:rsidRDefault="00BD6E7A" w:rsidP="00AA1858">
      <w:pPr>
        <w:spacing w:after="0" w:line="240" w:lineRule="auto"/>
      </w:pPr>
      <w:r>
        <w:separator/>
      </w:r>
    </w:p>
  </w:footnote>
  <w:footnote w:type="continuationSeparator" w:id="0">
    <w:p w14:paraId="2B35D59C" w14:textId="77777777" w:rsidR="00BD6E7A" w:rsidRDefault="00BD6E7A" w:rsidP="00AA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F60B" w14:textId="6265A3EC" w:rsidR="00B83E21" w:rsidRDefault="00B83E2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7456" behindDoc="1" locked="0" layoutInCell="1" allowOverlap="1" wp14:anchorId="704E91A3" wp14:editId="071B8B09">
          <wp:simplePos x="0" y="0"/>
          <wp:positionH relativeFrom="margin">
            <wp:align>left</wp:align>
          </wp:positionH>
          <wp:positionV relativeFrom="paragraph">
            <wp:posOffset>-241935</wp:posOffset>
          </wp:positionV>
          <wp:extent cx="1210945" cy="685800"/>
          <wp:effectExtent l="0" t="0" r="8255" b="0"/>
          <wp:wrapTight wrapText="bothSides">
            <wp:wrapPolygon edited="0">
              <wp:start x="0" y="0"/>
              <wp:lineTo x="0" y="21000"/>
              <wp:lineTo x="21407" y="21000"/>
              <wp:lineTo x="2140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ch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3360" behindDoc="0" locked="0" layoutInCell="1" allowOverlap="1" wp14:anchorId="04A767FA" wp14:editId="17A22BE2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776048" cy="540000"/>
          <wp:effectExtent l="0" t="0" r="508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AC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FFD25" w14:textId="2D33284C" w:rsidR="00066B5A" w:rsidRDefault="00B83E2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5408" behindDoc="1" locked="0" layoutInCell="1" allowOverlap="1" wp14:anchorId="1E9DC53A" wp14:editId="0EC3AC92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123950" cy="63627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ch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B5A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063A97A" wp14:editId="6D0F1E2F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776048" cy="540000"/>
          <wp:effectExtent l="0" t="0" r="508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AC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8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0A98"/>
    <w:multiLevelType w:val="hybridMultilevel"/>
    <w:tmpl w:val="21D0909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6FB3"/>
    <w:multiLevelType w:val="hybridMultilevel"/>
    <w:tmpl w:val="E942291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58"/>
    <w:rsid w:val="00066B5A"/>
    <w:rsid w:val="00080401"/>
    <w:rsid w:val="00190214"/>
    <w:rsid w:val="001D6ACA"/>
    <w:rsid w:val="002303A5"/>
    <w:rsid w:val="002475B8"/>
    <w:rsid w:val="00251D3E"/>
    <w:rsid w:val="002564F4"/>
    <w:rsid w:val="00270615"/>
    <w:rsid w:val="002E4A7B"/>
    <w:rsid w:val="00331BCE"/>
    <w:rsid w:val="003832D8"/>
    <w:rsid w:val="003A0E5D"/>
    <w:rsid w:val="003D0F08"/>
    <w:rsid w:val="00470442"/>
    <w:rsid w:val="0047229D"/>
    <w:rsid w:val="00480D5B"/>
    <w:rsid w:val="00493D6E"/>
    <w:rsid w:val="004A2F6C"/>
    <w:rsid w:val="004C626F"/>
    <w:rsid w:val="004E045E"/>
    <w:rsid w:val="0050346A"/>
    <w:rsid w:val="00503D05"/>
    <w:rsid w:val="00586065"/>
    <w:rsid w:val="005D6A7A"/>
    <w:rsid w:val="00633A3D"/>
    <w:rsid w:val="00683606"/>
    <w:rsid w:val="006948D3"/>
    <w:rsid w:val="006D7509"/>
    <w:rsid w:val="00751706"/>
    <w:rsid w:val="00780FE3"/>
    <w:rsid w:val="00796948"/>
    <w:rsid w:val="007A6409"/>
    <w:rsid w:val="007E0D99"/>
    <w:rsid w:val="007F4909"/>
    <w:rsid w:val="00805288"/>
    <w:rsid w:val="00807ED5"/>
    <w:rsid w:val="00822204"/>
    <w:rsid w:val="00844898"/>
    <w:rsid w:val="00847988"/>
    <w:rsid w:val="008C2B50"/>
    <w:rsid w:val="008C68FB"/>
    <w:rsid w:val="00906D75"/>
    <w:rsid w:val="00946F9A"/>
    <w:rsid w:val="009A2B8B"/>
    <w:rsid w:val="009A4ABF"/>
    <w:rsid w:val="00A07D2F"/>
    <w:rsid w:val="00A5058B"/>
    <w:rsid w:val="00A658F3"/>
    <w:rsid w:val="00A74278"/>
    <w:rsid w:val="00AA1858"/>
    <w:rsid w:val="00B01FE9"/>
    <w:rsid w:val="00B137B5"/>
    <w:rsid w:val="00B7147A"/>
    <w:rsid w:val="00B83E21"/>
    <w:rsid w:val="00BD6E7A"/>
    <w:rsid w:val="00BD7986"/>
    <w:rsid w:val="00C151A7"/>
    <w:rsid w:val="00C460AF"/>
    <w:rsid w:val="00C7412A"/>
    <w:rsid w:val="00C95DB5"/>
    <w:rsid w:val="00D41928"/>
    <w:rsid w:val="00DD1AC8"/>
    <w:rsid w:val="00DF4859"/>
    <w:rsid w:val="00DF4E48"/>
    <w:rsid w:val="00E137D7"/>
    <w:rsid w:val="00EF6961"/>
    <w:rsid w:val="00F15008"/>
    <w:rsid w:val="00F74284"/>
    <w:rsid w:val="00F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B6DF8E"/>
  <w15:chartTrackingRefBased/>
  <w15:docId w15:val="{2A2564D9-979C-4139-8A23-2D183412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1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858"/>
  </w:style>
  <w:style w:type="paragraph" w:styleId="Piedepgina">
    <w:name w:val="footer"/>
    <w:basedOn w:val="Normal"/>
    <w:link w:val="PiedepginaCar"/>
    <w:uiPriority w:val="99"/>
    <w:unhideWhenUsed/>
    <w:rsid w:val="00AA1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858"/>
  </w:style>
  <w:style w:type="paragraph" w:styleId="Prrafodelista">
    <w:name w:val="List Paragraph"/>
    <w:basedOn w:val="Normal"/>
    <w:uiPriority w:val="34"/>
    <w:qFormat/>
    <w:rsid w:val="00480D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6ACA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94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4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48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8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4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8D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222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CL"/>
    </w:rPr>
  </w:style>
  <w:style w:type="paragraph" w:styleId="Bibliografa">
    <w:name w:val="Bibliography"/>
    <w:basedOn w:val="Normal"/>
    <w:next w:val="Normal"/>
    <w:uiPriority w:val="37"/>
    <w:unhideWhenUsed/>
    <w:rsid w:val="0082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Per96</b:Tag>
    <b:SourceType>Report</b:SourceType>
    <b:Guid>{320E72CD-D90D-4D30-AA8D-AE790C01CF90}</b:Guid>
    <b:Title>Las actividades de aprendizaje en los manuales de español como lengua extranjera</b:Title>
    <b:Year>1996</b:Year>
    <b:City>Barcelona</b:City>
    <b:Publisher>Universitat de Barcelona</b:Publisher>
    <b:Author>
      <b:Author>
        <b:NameList>
          <b:Person>
            <b:Last>Peris</b:Last>
            <b:First>Martín</b:First>
          </b:Person>
        </b:NameList>
      </b:Author>
    </b:Author>
    <b:RefOrder>3</b:RefOrder>
  </b:Source>
  <b:Source>
    <b:Tag>Bar12</b:Tag>
    <b:SourceType>DocumentFromInternetSite</b:SourceType>
    <b:Guid>{A63B29CD-155A-4864-9232-E70A75E098FC}</b:Guid>
    <b:Title>La bitácora como instrumento para seguimiento y evaluación</b:Title>
    <b:Year>2012</b:Year>
    <b:Author>
      <b:Author>
        <b:NameList>
          <b:Person>
            <b:Last>Barrios</b:Last>
            <b:First>Patricia</b:First>
          </b:Person>
          <b:Person>
            <b:Last>Ruiz</b:Last>
            <b:First>Luis</b:First>
          </b:Person>
          <b:Person>
            <b:Last>González</b:Last>
            <b:First>Karolina</b:First>
          </b:Person>
        </b:NameList>
      </b:Author>
    </b:Author>
    <b:InternetSiteTitle>Red de Revistas Científicas de América Latina y el Caribe, España y Portugal</b:InternetSiteTitle>
    <b:RefOrder>1</b:RefOrder>
  </b:Source>
  <b:Source>
    <b:Tag>Eli03</b:Tag>
    <b:SourceType>DocumentFromInternetSite</b:SourceType>
    <b:Guid>{44A8C284-9D6F-4AE8-9463-40F059C04D36}</b:Guid>
    <b:Author>
      <b:Author>
        <b:NameList>
          <b:Person>
            <b:Last>Elizondo</b:Last>
            <b:First>L</b:First>
          </b:Person>
          <b:Person>
            <b:Last>Ayala</b:Last>
            <b:First>F</b:First>
          </b:Person>
          <b:Person>
            <b:Last>Hernández</b:Last>
            <b:First>C</b:First>
          </b:Person>
          <b:Person>
            <b:Last>Medina</b:Last>
            <b:First>G</b:First>
          </b:Person>
        </b:NameList>
      </b:Author>
    </b:Author>
    <b:Title>Los Fundamentos del uso del Portafolio de Evaluación en la Educación Médica</b:Title>
    <b:Year>2003</b:Year>
    <b:InternetSiteTitle>Escuela de Medicina del Tec de Monterry.</b:InternetSiteTitle>
    <b:RefOrder>2</b:RefOrder>
  </b:Source>
</b:Sources>
</file>

<file path=customXml/itemProps1.xml><?xml version="1.0" encoding="utf-8"?>
<ds:datastoreItem xmlns:ds="http://schemas.openxmlformats.org/officeDocument/2006/customXml" ds:itemID="{6EC60669-6A34-453B-B667-977D6F60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CeACS 06</dc:creator>
  <cp:keywords/>
  <dc:description/>
  <cp:lastModifiedBy>Monica Osorio</cp:lastModifiedBy>
  <cp:revision>3</cp:revision>
  <cp:lastPrinted>2017-08-16T14:45:00Z</cp:lastPrinted>
  <dcterms:created xsi:type="dcterms:W3CDTF">2017-08-17T13:05:00Z</dcterms:created>
  <dcterms:modified xsi:type="dcterms:W3CDTF">2017-08-17T13:12:00Z</dcterms:modified>
</cp:coreProperties>
</file>