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C9" w:rsidRPr="00373662" w:rsidRDefault="00B254C9" w:rsidP="00B25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30038"/>
          <w:sz w:val="36"/>
          <w:szCs w:val="36"/>
          <w:u w:val="single"/>
        </w:rPr>
      </w:pPr>
      <w:r w:rsidRPr="00373662">
        <w:rPr>
          <w:rFonts w:ascii="Times New Roman" w:hAnsi="Times New Roman" w:cs="Times New Roman"/>
          <w:b/>
          <w:bCs/>
          <w:color w:val="030038"/>
          <w:sz w:val="36"/>
          <w:szCs w:val="36"/>
          <w:u w:val="single"/>
        </w:rPr>
        <w:t>A. Descripción de las Propuestas Globales</w:t>
      </w:r>
    </w:p>
    <w:p w:rsidR="00ED4CF6" w:rsidRDefault="00ED4CF6" w:rsidP="00B25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</w:p>
    <w:p w:rsidR="00333CCE" w:rsidRDefault="00333CCE" w:rsidP="00333CCE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Las </w:t>
      </w:r>
      <w:r w:rsidRPr="00333CC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Propuesta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s</w:t>
      </w:r>
      <w:r w:rsidRPr="00333CC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A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y B se pueden leer en el Informe de la Comisión.</w:t>
      </w:r>
    </w:p>
    <w:p w:rsidR="00333CCE" w:rsidRDefault="00333CCE" w:rsidP="00ED4CF6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</w:p>
    <w:p w:rsidR="00B254C9" w:rsidRPr="001C2324" w:rsidRDefault="00B254C9" w:rsidP="00ED4CF6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  <w:u w:val="single"/>
        </w:rPr>
      </w:pPr>
      <w:r w:rsidRPr="00ED4CF6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Propuesta C</w:t>
      </w:r>
      <w:r w:rsidR="001C2324" w:rsidRPr="001C2324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   </w:t>
      </w:r>
      <w:r w:rsidR="001C2324" w:rsidRPr="001C2324"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  <w:sym w:font="Wingdings" w:char="F088"/>
      </w:r>
    </w:p>
    <w:p w:rsidR="00D0252F" w:rsidRDefault="00AA0ECB" w:rsidP="00AA0EC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ECB">
        <w:rPr>
          <w:rFonts w:ascii="Times New Roman" w:hAnsi="Times New Roman" w:cs="Times New Roman"/>
          <w:color w:val="000000"/>
          <w:sz w:val="24"/>
          <w:szCs w:val="24"/>
        </w:rPr>
        <w:t xml:space="preserve">Propuesta apoyada por la comisionada </w:t>
      </w:r>
      <w:proofErr w:type="spellStart"/>
      <w:r w:rsidRPr="00AA0ECB">
        <w:rPr>
          <w:rFonts w:ascii="Times New Roman" w:hAnsi="Times New Roman" w:cs="Times New Roman"/>
          <w:color w:val="000000"/>
          <w:sz w:val="24"/>
          <w:szCs w:val="24"/>
        </w:rPr>
        <w:t>Leokadia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0ECB">
        <w:rPr>
          <w:rFonts w:ascii="Times New Roman" w:hAnsi="Times New Roman" w:cs="Times New Roman"/>
          <w:color w:val="000000"/>
          <w:sz w:val="24"/>
          <w:szCs w:val="24"/>
        </w:rPr>
        <w:t>Oreziak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(Polonia)</w:t>
      </w:r>
      <w:r w:rsidRPr="00AA0E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54C9" w:rsidRPr="00373662" w:rsidRDefault="00B254C9" w:rsidP="00D0252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A8F">
        <w:rPr>
          <w:rFonts w:ascii="Times New Roman" w:hAnsi="Times New Roman" w:cs="Times New Roman"/>
          <w:b/>
          <w:color w:val="000000"/>
          <w:sz w:val="24"/>
          <w:szCs w:val="24"/>
        </w:rPr>
        <w:t>La propuesta global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0ECB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, sugiere reemplazar el sistema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actual, convirtiéndolo en un esquema de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reparto y asume que los afiliados actuales del sistema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 AFP son transferidos a este, junto a sus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contribuciones y fondos, a cambio de una pensión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mejor, definida, de por vida y no discriminatoria.</w:t>
      </w:r>
    </w:p>
    <w:p w:rsidR="00B254C9" w:rsidRPr="00373662" w:rsidRDefault="00B254C9" w:rsidP="00D0252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CF6">
        <w:rPr>
          <w:rFonts w:ascii="Times New Roman" w:hAnsi="Times New Roman" w:cs="Times New Roman"/>
          <w:color w:val="000000"/>
          <w:sz w:val="24"/>
          <w:szCs w:val="24"/>
        </w:rPr>
        <w:t>La PBS</w:t>
      </w:r>
      <w:r w:rsidR="00ED4CF6" w:rsidRP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(Pensión Básica Solidaria </w:t>
      </w:r>
      <w:r w:rsidR="00ED4CF6" w:rsidRPr="00ED4CF6">
        <w:rPr>
          <w:rFonts w:ascii="Times New Roman" w:hAnsi="Times New Roman" w:cs="Times New Roman"/>
          <w:color w:val="333333"/>
          <w:sz w:val="24"/>
          <w:szCs w:val="24"/>
        </w:rPr>
        <w:t>de Vejez es a la fecha</w:t>
      </w:r>
      <w:r w:rsidR="00ED4CF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0252F">
        <w:rPr>
          <w:rFonts w:ascii="Times New Roman" w:hAnsi="Times New Roman" w:cs="Times New Roman"/>
          <w:color w:val="333333"/>
          <w:sz w:val="24"/>
          <w:szCs w:val="24"/>
        </w:rPr>
        <w:t>{</w:t>
      </w:r>
      <w:r w:rsidR="00ED4CF6">
        <w:rPr>
          <w:rFonts w:ascii="Times New Roman" w:hAnsi="Times New Roman" w:cs="Times New Roman"/>
          <w:color w:val="333333"/>
          <w:sz w:val="24"/>
          <w:szCs w:val="24"/>
        </w:rPr>
        <w:t>septiembre 2015</w:t>
      </w:r>
      <w:r w:rsidR="00D0252F">
        <w:rPr>
          <w:rFonts w:ascii="Times New Roman" w:hAnsi="Times New Roman" w:cs="Times New Roman"/>
          <w:color w:val="333333"/>
          <w:sz w:val="24"/>
          <w:szCs w:val="24"/>
        </w:rPr>
        <w:t>}</w:t>
      </w:r>
      <w:r w:rsidR="00ED4CF6" w:rsidRPr="00ED4CF6">
        <w:rPr>
          <w:rFonts w:ascii="Times New Roman" w:hAnsi="Times New Roman" w:cs="Times New Roman"/>
          <w:color w:val="333333"/>
          <w:sz w:val="24"/>
          <w:szCs w:val="24"/>
        </w:rPr>
        <w:t xml:space="preserve"> $ 89.764 </w:t>
      </w:r>
      <w:r w:rsidR="00ED4CF6" w:rsidRPr="00D0252F">
        <w:rPr>
          <w:rFonts w:ascii="Times New Roman" w:hAnsi="Times New Roman" w:cs="Times New Roman"/>
          <w:color w:val="333333"/>
          <w:sz w:val="24"/>
          <w:szCs w:val="24"/>
        </w:rPr>
        <w:t xml:space="preserve">y el de la PMAS </w:t>
      </w:r>
      <w:r w:rsidR="00D0252F">
        <w:rPr>
          <w:rFonts w:ascii="Times New Roman" w:hAnsi="Times New Roman" w:cs="Times New Roman"/>
          <w:color w:val="333333"/>
          <w:sz w:val="24"/>
          <w:szCs w:val="24"/>
        </w:rPr>
        <w:t>{</w:t>
      </w:r>
      <w:r w:rsidR="00D0252F" w:rsidRPr="00D0252F">
        <w:rPr>
          <w:rFonts w:ascii="Times New Roman" w:hAnsi="Times New Roman" w:cs="Times New Roman"/>
          <w:sz w:val="24"/>
          <w:szCs w:val="24"/>
        </w:rPr>
        <w:t>Pensión Máxima con Aporte Solidario</w:t>
      </w:r>
      <w:r w:rsidR="00D0252F">
        <w:rPr>
          <w:rFonts w:ascii="Times New Roman" w:hAnsi="Times New Roman" w:cs="Times New Roman"/>
          <w:sz w:val="24"/>
          <w:szCs w:val="24"/>
        </w:rPr>
        <w:t xml:space="preserve">} </w:t>
      </w:r>
      <w:r w:rsidR="00ED4CF6" w:rsidRPr="00D0252F">
        <w:rPr>
          <w:rFonts w:ascii="Times New Roman" w:hAnsi="Times New Roman" w:cs="Times New Roman"/>
          <w:color w:val="333333"/>
          <w:sz w:val="24"/>
          <w:szCs w:val="24"/>
        </w:rPr>
        <w:t>es $291.778, valores que se</w:t>
      </w:r>
      <w:r w:rsidR="00ED4CF6" w:rsidRPr="00ED4CF6">
        <w:rPr>
          <w:rFonts w:ascii="Times New Roman" w:hAnsi="Times New Roman" w:cs="Times New Roman"/>
          <w:color w:val="333333"/>
          <w:sz w:val="24"/>
          <w:szCs w:val="24"/>
        </w:rPr>
        <w:t xml:space="preserve"> incrementan anualmente</w:t>
      </w:r>
      <w:r w:rsidR="00ED4CF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D4CF6" w:rsidRPr="00ED4CF6">
        <w:rPr>
          <w:rFonts w:ascii="Times New Roman" w:hAnsi="Times New Roman" w:cs="Times New Roman"/>
          <w:color w:val="333333"/>
          <w:sz w:val="24"/>
          <w:szCs w:val="24"/>
        </w:rPr>
        <w:t>de acuerdo a la variación del IPC</w:t>
      </w:r>
      <w:r w:rsidR="00ED4CF6"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r w:rsidRPr="00ED4CF6">
        <w:rPr>
          <w:rFonts w:ascii="Times New Roman" w:hAnsi="Times New Roman" w:cs="Times New Roman"/>
          <w:color w:val="000000"/>
          <w:sz w:val="24"/>
          <w:szCs w:val="24"/>
        </w:rPr>
        <w:t>y las pensiones muy bajas del sistema</w:t>
      </w:r>
      <w:r w:rsidR="00ED4CF6" w:rsidRP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4CF6">
        <w:rPr>
          <w:rFonts w:ascii="Times New Roman" w:hAnsi="Times New Roman" w:cs="Times New Roman"/>
          <w:color w:val="000000"/>
          <w:sz w:val="24"/>
          <w:szCs w:val="24"/>
        </w:rPr>
        <w:t>de reparto antiguo serán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 xml:space="preserve"> incrementadas de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forma inmediata en al menos un 100%</w:t>
      </w:r>
      <w:r w:rsidR="00D0252F">
        <w:rPr>
          <w:rFonts w:ascii="Times New Roman" w:hAnsi="Times New Roman" w:cs="Times New Roman"/>
          <w:color w:val="000000"/>
          <w:sz w:val="24"/>
          <w:szCs w:val="24"/>
        </w:rPr>
        <w:t xml:space="preserve"> [Sueldo Mínimo Mensual $  </w:t>
      </w:r>
      <w:r w:rsidR="00AA0ECB">
        <w:rPr>
          <w:rFonts w:ascii="Times New Roman" w:hAnsi="Times New Roman" w:cs="Times New Roman"/>
          <w:color w:val="000000"/>
          <w:sz w:val="24"/>
          <w:szCs w:val="24"/>
        </w:rPr>
        <w:t>241.000</w:t>
      </w:r>
      <w:r w:rsidR="00AA0ECB" w:rsidRPr="00AA0E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0ECB">
        <w:rPr>
          <w:rFonts w:ascii="Times New Roman" w:hAnsi="Times New Roman" w:cs="Times New Roman"/>
          <w:color w:val="000000"/>
          <w:sz w:val="24"/>
          <w:szCs w:val="24"/>
        </w:rPr>
        <w:t>(septiembre 2015) y $ 257.500 (octubre 2016)</w:t>
      </w:r>
      <w:r w:rsidR="00D025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A0E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52F">
        <w:rPr>
          <w:rFonts w:ascii="Times New Roman" w:hAnsi="Times New Roman" w:cs="Times New Roman"/>
          <w:color w:val="000000"/>
          <w:sz w:val="24"/>
          <w:szCs w:val="24"/>
        </w:rPr>
        <w:t xml:space="preserve">CVH].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El monto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completo de contribución será usado como ingreso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para pagar las pensiones contributivas, sin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usar subsidios estatales. La edad de retiro efectiva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(actualmente en 70 años) se reduce a sus límites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legales (65/60), y se mantiene así (en un escenario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alternativo, se aumenta gradualmente por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dos años desde 2030). En promedio, los beneficios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 pensión se incrementarán en 75% a un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100%. Las tasas de contribución no se aumentan</w:t>
      </w:r>
      <w:r w:rsidR="00ED4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hasta el año 2035, y luego se incrementan a 25%.</w:t>
      </w:r>
    </w:p>
    <w:p w:rsidR="00B254C9" w:rsidRPr="00373662" w:rsidRDefault="00B254C9" w:rsidP="00D0252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>No se requiere de impuestos adicionales, todo lo</w:t>
      </w:r>
      <w:r w:rsidR="00D02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contrario, como se pone fin a los subsidios monetarios</w:t>
      </w:r>
      <w:r w:rsidR="00D02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directos e indirectos, se genera un ahorro</w:t>
      </w:r>
      <w:r w:rsidR="00D02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fiscal anual del orden de 1,8% del PIB.</w:t>
      </w:r>
      <w:r w:rsidR="00D02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Los principales elementos de la Propuesta Global</w:t>
      </w:r>
      <w:r w:rsidR="00D02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 se resumen a continuación:</w:t>
      </w:r>
    </w:p>
    <w:p w:rsidR="00B254C9" w:rsidRPr="00D0252F" w:rsidRDefault="00B254C9" w:rsidP="00A210F0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25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A26A8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025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Cambios al Pilar Solidario no-contributivo</w:t>
      </w:r>
    </w:p>
    <w:p w:rsidR="00B254C9" w:rsidRPr="00373662" w:rsidRDefault="00B254C9" w:rsidP="0061293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>El pilar no contributivo, financiado vía impuestos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generales, se reduce a las “Pensiones Básicas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Solidarias (PBS)”, y el antiguo sistema de reparto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y otras pensiones pagadas por el Instituto de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Previsión Social (IPS). El número de beneficiarios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del pilar no contributivo disminuirá rápidamente,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desde el actual 63% de personas mayores, para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alcanzar el 40% en 2020. La propuesta permite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aumentar de forma inmediata las pensiones no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contributivas, porque el término de los subsidios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monetarios directos e indirectos destinados a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pensiones contributivas genera un ahorro fiscal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inmediato de 1,8% del PIB anual. Se debe considerar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un aumento porque la pensión mínima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contributiva aumentará al menos en 100%, y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subsecuentemente se aumentarán de acuerdo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a los salarios, de tal forma que un criterio similar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debería ser aplicado a las pensiones no contributivas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“pensiones solidarias”, y las pensiones de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reparto muy bajas, a partir del primer año.</w:t>
      </w:r>
    </w:p>
    <w:p w:rsidR="00B254C9" w:rsidRPr="00373662" w:rsidRDefault="00B254C9" w:rsidP="0061293A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a) Financiamiento</w:t>
      </w:r>
    </w:p>
    <w:p w:rsidR="00B254C9" w:rsidRPr="00A26A8F" w:rsidRDefault="00B254C9" w:rsidP="00A91636">
      <w:p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i. </w:t>
      </w:r>
      <w:r w:rsidR="0061293A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No se requiere un financiamiento nuevo vía</w:t>
      </w:r>
      <w:r w:rsidR="0061293A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impuestos, ni inmediatamente ni en el futuro.</w:t>
      </w:r>
    </w:p>
    <w:p w:rsidR="00B254C9" w:rsidRPr="00373662" w:rsidRDefault="00B254C9" w:rsidP="00A91636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>Impuestos adicionales no son requeridos, por el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contrario, esta propuesta genera un superávit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fiscal inmediato de 1,8% del PIB anual, al poner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término a todos los subsidios monetarios directos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e indirectos de pensiones contributivas. Adicionalmente,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genera ahorros futuros porque reduce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rápidamente el número de pensiones no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contributivas.</w:t>
      </w:r>
    </w:p>
    <w:p w:rsidR="00B254C9" w:rsidRPr="00A26A8F" w:rsidRDefault="00B254C9" w:rsidP="00010BB2">
      <w:p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ii</w:t>
      </w:r>
      <w:proofErr w:type="spellEnd"/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61293A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No habrá una contribución a cargo del empleador.</w:t>
      </w:r>
    </w:p>
    <w:p w:rsidR="00B254C9" w:rsidRPr="00373662" w:rsidRDefault="00B254C9" w:rsidP="00010BB2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>La propuesta no considera una contribución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adicional a los impuestos generales a cargo del</w:t>
      </w:r>
      <w:r w:rsidR="0061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empleador,</w:t>
      </w:r>
    </w:p>
    <w:p w:rsidR="00B254C9" w:rsidRPr="00373662" w:rsidRDefault="00B254C9" w:rsidP="00010BB2">
      <w:pPr>
        <w:autoSpaceDE w:val="0"/>
        <w:autoSpaceDN w:val="0"/>
        <w:adjustRightInd w:val="0"/>
        <w:spacing w:before="240" w:after="120" w:line="240" w:lineRule="auto"/>
        <w:ind w:left="709" w:hanging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b) </w:t>
      </w:r>
      <w:r w:rsidR="00010B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3736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Beneficios</w:t>
      </w:r>
    </w:p>
    <w:p w:rsidR="00B254C9" w:rsidRPr="00A26A8F" w:rsidRDefault="00B254C9" w:rsidP="00010BB2">
      <w:p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i. </w:t>
      </w:r>
      <w:r w:rsidR="00A26A8F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Test de riqueza (afluencia) para todos los beneficiarios</w:t>
      </w:r>
      <w:r w:rsidR="0061293A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de este pilar.</w:t>
      </w:r>
    </w:p>
    <w:p w:rsidR="00B254C9" w:rsidRPr="00373662" w:rsidRDefault="00B254C9" w:rsidP="00010BB2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>El pilar contributivo cubrirá el 60% de las personas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mayores –financiados exclusivamente con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contribuciones, sin ningún subsidio estatal- y consecuentemente,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el sistema no contributivo será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focalizado en las personas mayores pertenecientes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al 40% de los ingresos más bajos, desde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2020 en adelante. En vez de un test de riqueza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(afluencia) o de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focalización, el criterio de selección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 los beneficiarios del pilar no contributivo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debería seguir un criterio simple, como una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pensión menor a la pensión contributiva mínima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y un número escaso de contribuciones. Adicionalmente,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se podría considerar la no afiliación al</w:t>
      </w:r>
      <w:r w:rsidR="00A2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sistema contributivo.</w:t>
      </w:r>
    </w:p>
    <w:p w:rsidR="00B254C9" w:rsidRPr="00A26A8F" w:rsidRDefault="00B254C9" w:rsidP="00010BB2">
      <w:p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ii</w:t>
      </w:r>
      <w:proofErr w:type="spellEnd"/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A26A8F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Al menos un aumento inicial de 100% de la</w:t>
      </w:r>
      <w:r w:rsidR="00A26A8F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Pensión Básica Solidaria (PBS) y aumentos</w:t>
      </w:r>
      <w:r w:rsidR="00A26A8F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subsecuentes relacionados a los salarios.</w:t>
      </w:r>
    </w:p>
    <w:p w:rsidR="00B254C9" w:rsidRPr="00A26A8F" w:rsidRDefault="00B254C9" w:rsidP="00010BB2">
      <w:p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iii</w:t>
      </w:r>
      <w:proofErr w:type="spellEnd"/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A26A8F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El Aporte Previsional Solidario (APS) se termina,</w:t>
      </w:r>
      <w:r w:rsidR="00A26A8F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porque las pensiones contributivas se</w:t>
      </w:r>
      <w:r w:rsidR="00A26A8F"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26A8F">
        <w:rPr>
          <w:rFonts w:ascii="Times New Roman" w:hAnsi="Times New Roman" w:cs="Times New Roman"/>
          <w:b/>
          <w:i/>
          <w:color w:val="000000"/>
          <w:sz w:val="24"/>
          <w:szCs w:val="24"/>
        </w:rPr>
        <w:t>financian exclusivamente vía contribuciones.</w:t>
      </w:r>
    </w:p>
    <w:p w:rsidR="00B254C9" w:rsidRPr="00373662" w:rsidRDefault="00B254C9" w:rsidP="00A26A8F">
      <w:pPr>
        <w:autoSpaceDE w:val="0"/>
        <w:autoSpaceDN w:val="0"/>
        <w:adjustRightInd w:val="0"/>
        <w:spacing w:before="240" w:after="120" w:line="240" w:lineRule="auto"/>
        <w:ind w:left="709" w:hanging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3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c) </w:t>
      </w:r>
      <w:r w:rsidR="00A26A8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73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Trayectoria de tiempo asociada a los cambios</w:t>
      </w:r>
    </w:p>
    <w:p w:rsidR="00B254C9" w:rsidRPr="00010BB2" w:rsidRDefault="00B254C9" w:rsidP="00010BB2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sz w:val="24"/>
          <w:szCs w:val="24"/>
        </w:rPr>
        <w:t>Aumento en beneficios que se llevará a cabo lo</w:t>
      </w:r>
      <w:r w:rsidR="00A26A8F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 xml:space="preserve">antes posible. Sin aumentos de </w:t>
      </w:r>
      <w:r w:rsidRPr="00010BB2">
        <w:rPr>
          <w:rFonts w:ascii="Times New Roman" w:hAnsi="Times New Roman" w:cs="Times New Roman"/>
          <w:color w:val="000000"/>
          <w:sz w:val="24"/>
          <w:szCs w:val="24"/>
        </w:rPr>
        <w:t>impuestos.</w:t>
      </w:r>
    </w:p>
    <w:p w:rsidR="00B254C9" w:rsidRPr="00373662" w:rsidRDefault="00B254C9" w:rsidP="00010BB2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73662">
        <w:rPr>
          <w:rFonts w:ascii="Times New Roman" w:hAnsi="Times New Roman" w:cs="Times New Roman"/>
          <w:sz w:val="24"/>
          <w:szCs w:val="24"/>
        </w:rPr>
        <w:t>La PBS se aumenta inicialmente hasta al menos</w:t>
      </w:r>
      <w:r w:rsidR="00A26A8F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100% y también se aumentan pensiones muy bajas</w:t>
      </w:r>
      <w:r w:rsidR="00A26A8F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del sistema de reparto antiguo; luego, todas</w:t>
      </w:r>
      <w:r w:rsidR="00A26A8F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las pensiones no contributivas son aumentadas</w:t>
      </w:r>
      <w:r w:rsidR="00A26A8F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anualmente, en relación a los salarios.</w:t>
      </w:r>
    </w:p>
    <w:p w:rsidR="00B254C9" w:rsidRPr="00373662" w:rsidRDefault="00B254C9" w:rsidP="00A26A8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3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d) Impacto sobre pobreza en la vejez</w:t>
      </w:r>
    </w:p>
    <w:p w:rsidR="00B254C9" w:rsidRPr="00373662" w:rsidRDefault="00B254C9" w:rsidP="00010BB2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73662">
        <w:rPr>
          <w:rFonts w:ascii="Times New Roman" w:hAnsi="Times New Roman" w:cs="Times New Roman"/>
          <w:sz w:val="24"/>
          <w:szCs w:val="24"/>
        </w:rPr>
        <w:t>El impacto de la propuesta sobre la reducción de</w:t>
      </w:r>
      <w:r w:rsidR="00A26A8F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la pobreza es muy significativo, porque desde el</w:t>
      </w:r>
      <w:r w:rsidR="00A26A8F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comienzo duplica el monto de las “Pensiones Solidarias”</w:t>
      </w:r>
      <w:r w:rsidR="00A26A8F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y aumenta las pensiones muy bajas del</w:t>
      </w:r>
      <w:r w:rsidR="00A26A8F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sistema de reparto antiguo y, adicionalmente,</w:t>
      </w:r>
      <w:r w:rsidR="00A26A8F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duplica las pensiones contributivas bajas.</w:t>
      </w:r>
    </w:p>
    <w:p w:rsidR="00B254C9" w:rsidRPr="00D0252F" w:rsidRDefault="00B254C9" w:rsidP="00A210F0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252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 </w:t>
      </w:r>
      <w:r w:rsidR="00A26A8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025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Cambios al Pilar Contributivo (se pone fin al</w:t>
      </w:r>
      <w:r w:rsidR="00A26A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025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esquema de AFP y de capitalización)</w:t>
      </w:r>
    </w:p>
    <w:p w:rsidR="00B254C9" w:rsidRPr="00A26A8F" w:rsidRDefault="00B254C9" w:rsidP="00A26A8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26A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a) Financiamiento</w:t>
      </w:r>
    </w:p>
    <w:p w:rsidR="00B254C9" w:rsidRPr="00373662" w:rsidRDefault="00B254C9" w:rsidP="00010BB2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73662">
        <w:rPr>
          <w:rFonts w:ascii="Times New Roman" w:hAnsi="Times New Roman" w:cs="Times New Roman"/>
          <w:sz w:val="24"/>
          <w:szCs w:val="24"/>
        </w:rPr>
        <w:t>Las pensiones contributivas se continuarán pagando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al nivel actual hasta 2035. El monto de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contribuciones completo será usado para pagar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pensiones contributivas, en el contexto de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un nuevo sistema de reparto, sin subsidio estatal.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El fondo de pensiones se usará como un amortiguador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para evitar o minimizar, y retrasar por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décadas, cualquier aumento en la edad de retiro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o las tasas de contribución, y un residual considerable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se mantiene como reserva, en todos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los escenarios. Se pone fin a todos los subsidios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monetarios dirigidos a las pensiones contributivas,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incluyendo el APS. Todos los aumentos en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las contribuciones subsecuentes, serán pagados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por los empleadores.</w:t>
      </w:r>
    </w:p>
    <w:p w:rsidR="00B254C9" w:rsidRPr="00A26A8F" w:rsidRDefault="00B254C9" w:rsidP="00A26A8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26A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b) Beneficiarios</w:t>
      </w:r>
    </w:p>
    <w:p w:rsidR="00B254C9" w:rsidRPr="00373662" w:rsidRDefault="00B254C9" w:rsidP="00010BB2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73662">
        <w:rPr>
          <w:rFonts w:ascii="Times New Roman" w:hAnsi="Times New Roman" w:cs="Times New Roman"/>
          <w:sz w:val="24"/>
          <w:szCs w:val="24"/>
        </w:rPr>
        <w:t>Inicialmente, i) la edad de retiro efectivo se reduce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a límites legales (65/60), y esto no se cambia,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o, en el segundo escenario se aumenta gradualmente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 xml:space="preserve">por dos años, a partir de 2030; </w:t>
      </w:r>
      <w:proofErr w:type="spellStart"/>
      <w:r w:rsidRPr="00373662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373662">
        <w:rPr>
          <w:rFonts w:ascii="Times New Roman" w:hAnsi="Times New Roman" w:cs="Times New Roman"/>
          <w:sz w:val="24"/>
          <w:szCs w:val="24"/>
        </w:rPr>
        <w:t>) las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pensiones promedio se aumentan en un rango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de 75% a 100%, dependiendo del escenario observado,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y luego se aumenta anualmente a nivel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 xml:space="preserve">de los salarios; </w:t>
      </w:r>
      <w:proofErr w:type="spellStart"/>
      <w:r w:rsidRPr="00373662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373662">
        <w:rPr>
          <w:rFonts w:ascii="Times New Roman" w:hAnsi="Times New Roman" w:cs="Times New Roman"/>
          <w:sz w:val="24"/>
          <w:szCs w:val="24"/>
        </w:rPr>
        <w:t>) las tasas de contribución no se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aumentan hasta el 2035, y luego se aumentan a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niveles razonables (todos los aumentos serán pagados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 xml:space="preserve">por los empleadores); </w:t>
      </w:r>
      <w:proofErr w:type="spellStart"/>
      <w:r w:rsidRPr="00373662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373662">
        <w:rPr>
          <w:rFonts w:ascii="Times New Roman" w:hAnsi="Times New Roman" w:cs="Times New Roman"/>
          <w:sz w:val="24"/>
          <w:szCs w:val="24"/>
        </w:rPr>
        <w:t>) se terminan los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subsidios monetarios directos o indirectos, generando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un ahorro fiscal anual de 1,8% del PIB; v) el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número de pensiones no contributivas se reduce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rápidamente desde el actual 63% de las personas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mayores, a 40% en 2020. De este modo, se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disminuye el gasto fiscal total en pensiones civiles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desde el actual 3,9% del PIB a un rango de 1,6%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a 1,9% para el año 2020.</w:t>
      </w:r>
    </w:p>
    <w:p w:rsidR="00B254C9" w:rsidRPr="00A26A8F" w:rsidRDefault="00B254C9" w:rsidP="00A26A8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26A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c) Otros puntos</w:t>
      </w:r>
    </w:p>
    <w:p w:rsidR="00B254C9" w:rsidRPr="00373662" w:rsidRDefault="00B254C9" w:rsidP="00A210F0">
      <w:p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3662">
        <w:rPr>
          <w:rFonts w:ascii="Times New Roman" w:hAnsi="Times New Roman" w:cs="Times New Roman"/>
          <w:sz w:val="24"/>
          <w:szCs w:val="24"/>
        </w:rPr>
        <w:t xml:space="preserve">i) </w:t>
      </w:r>
      <w:r w:rsidR="00A210F0">
        <w:rPr>
          <w:rFonts w:ascii="Times New Roman" w:hAnsi="Times New Roman" w:cs="Times New Roman"/>
          <w:sz w:val="24"/>
          <w:szCs w:val="24"/>
        </w:rPr>
        <w:tab/>
      </w:r>
      <w:r w:rsidRPr="00373662">
        <w:rPr>
          <w:rFonts w:ascii="Times New Roman" w:hAnsi="Times New Roman" w:cs="Times New Roman"/>
          <w:sz w:val="24"/>
          <w:szCs w:val="24"/>
        </w:rPr>
        <w:t>La propuesta es viable políticamente porque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la distribución del ingreso y consecuentemente,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la confianza pública en el Sistema de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Pensiones en particular y en las instituciones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en general, se mejoran considerablemente,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debido a que:</w:t>
      </w:r>
    </w:p>
    <w:p w:rsidR="00B254C9" w:rsidRPr="00373662" w:rsidRDefault="00B254C9" w:rsidP="00A210F0">
      <w:p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662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373662">
        <w:rPr>
          <w:rFonts w:ascii="Times New Roman" w:hAnsi="Times New Roman" w:cs="Times New Roman"/>
          <w:sz w:val="24"/>
          <w:szCs w:val="24"/>
        </w:rPr>
        <w:t xml:space="preserve">) </w:t>
      </w:r>
      <w:r w:rsidR="00A210F0">
        <w:rPr>
          <w:rFonts w:ascii="Times New Roman" w:hAnsi="Times New Roman" w:cs="Times New Roman"/>
          <w:sz w:val="24"/>
          <w:szCs w:val="24"/>
        </w:rPr>
        <w:tab/>
      </w:r>
      <w:r w:rsidRPr="00373662">
        <w:rPr>
          <w:rFonts w:ascii="Times New Roman" w:hAnsi="Times New Roman" w:cs="Times New Roman"/>
          <w:sz w:val="24"/>
          <w:szCs w:val="24"/>
        </w:rPr>
        <w:t>La propuesta pone fin al esquema de capitalización,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el cual pretende ser un Sistema de</w:t>
      </w:r>
      <w:r w:rsidR="00A210F0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Pensiones, pero que es en realidad un mecanismo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de transferencia de salarios crecientes</w:t>
      </w:r>
      <w:r w:rsidR="00A210F0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e impuestos hacia el mercado financiero, el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cual nunca va a ser devuelto, porque siempre</w:t>
      </w:r>
      <w:r w:rsidR="00A210F0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genera un superávit entre contribuciones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y beneficios pagados.</w:t>
      </w:r>
    </w:p>
    <w:p w:rsidR="00B254C9" w:rsidRDefault="00B254C9" w:rsidP="00A210F0">
      <w:p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662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373662">
        <w:rPr>
          <w:rFonts w:ascii="Times New Roman" w:hAnsi="Times New Roman" w:cs="Times New Roman"/>
          <w:sz w:val="24"/>
          <w:szCs w:val="24"/>
        </w:rPr>
        <w:t xml:space="preserve">) </w:t>
      </w:r>
      <w:r w:rsidR="00A210F0">
        <w:rPr>
          <w:rFonts w:ascii="Times New Roman" w:hAnsi="Times New Roman" w:cs="Times New Roman"/>
          <w:sz w:val="24"/>
          <w:szCs w:val="24"/>
        </w:rPr>
        <w:tab/>
      </w:r>
      <w:r w:rsidRPr="00373662">
        <w:rPr>
          <w:rFonts w:ascii="Times New Roman" w:hAnsi="Times New Roman" w:cs="Times New Roman"/>
          <w:sz w:val="24"/>
          <w:szCs w:val="24"/>
        </w:rPr>
        <w:t>Cuando el costo fiscal total de las pensiones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civiles son tomadas en consideración, la propuesta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supone un aumento significativo en el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ahorro nacional líquido, cuyo valor presente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acumulado entre 2014 a 2052 equivale a tres</w:t>
      </w:r>
      <w:r w:rsidR="00010BB2">
        <w:rPr>
          <w:rFonts w:ascii="Times New Roman" w:hAnsi="Times New Roman" w:cs="Times New Roman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sz w:val="24"/>
          <w:szCs w:val="24"/>
        </w:rPr>
        <w:t>veces el PIB de 2013.</w:t>
      </w:r>
    </w:p>
    <w:p w:rsidR="00333CCE" w:rsidRPr="00373662" w:rsidRDefault="00333CCE" w:rsidP="00A210F0">
      <w:p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254C9" w:rsidRPr="00A210F0" w:rsidRDefault="00333CCE" w:rsidP="00A210F0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A210F0" w:rsidRPr="00A21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¿Por qué la Comisión no respalda la propuesta de realizar una</w:t>
      </w:r>
      <w:r w:rsidR="00A21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10F0" w:rsidRPr="00A21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reforma hacia un</w:t>
      </w:r>
      <w:r w:rsidR="00A21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10F0" w:rsidRPr="00A21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sistema de reparto?</w:t>
      </w:r>
    </w:p>
    <w:p w:rsidR="00B254C9" w:rsidRPr="00373662" w:rsidRDefault="00B254C9" w:rsidP="00B25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>De un total de 24 comisionado(a)</w:t>
      </w:r>
      <w:r w:rsidR="00A21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s, solo una integrante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apoyó la Propuesta C, en la que se propone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reemplazar el sistema actual por un sistema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 reparto.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Las principales razones para oponerse a dicha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propuesta proporcionadas por el resto de los comisionados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fueron las siguientes:</w:t>
      </w:r>
    </w:p>
    <w:p w:rsidR="00B254C9" w:rsidRPr="00373662" w:rsidRDefault="00B254C9" w:rsidP="00333CCE">
      <w:p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333CC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La Propuesta C transfiere todos los depósitos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y ahorros de propiedad de los trabajadores al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sistema de reparto, sin compensación por la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toma de sus cuentas individuales.</w:t>
      </w:r>
    </w:p>
    <w:p w:rsidR="00B254C9" w:rsidRPr="00373662" w:rsidRDefault="00B254C9" w:rsidP="00333CCE">
      <w:p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333CC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La Propuesta requiere de un abrupto y fuerte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incremento en las cotizaciones e impuestos al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tiempo que la reserva es exhausta.</w:t>
      </w:r>
    </w:p>
    <w:p w:rsidR="00B254C9" w:rsidRPr="00373662" w:rsidRDefault="00B254C9" w:rsidP="00333CCE">
      <w:p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333CC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El paso a un sistema total de reparto reduce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el ahorro y la inversión, algo muy problemático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cuando la fuerza laboral enfrentará una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importante declinación a partir de las proyecciones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demográficas.</w:t>
      </w:r>
    </w:p>
    <w:p w:rsidR="00B254C9" w:rsidRPr="00373662" w:rsidRDefault="00B254C9" w:rsidP="00333CCE">
      <w:p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333CC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Los supuestos sobre los que se basa la propuesta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son excesivamente optimistas: aumentos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en la tasa de cotización y edades de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jubilación consideradas son inviables; optimismo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en el aumento de la formalidad y supuestos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conservadores en la cobertura de adultos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mayores. Todos estos supuestos producen una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reforma paramétrica perfecta para calzar el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sistema pero sus bases se escapan de todo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realismo acerca del comportamiento previsible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del mercado del trabajo en Chile.</w:t>
      </w:r>
    </w:p>
    <w:p w:rsidR="00B254C9" w:rsidRPr="00373662" w:rsidRDefault="00B254C9" w:rsidP="00333CCE">
      <w:p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333CC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Considerando los supuestos indicados en d),</w:t>
      </w:r>
      <w:r w:rsidR="0001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se duda sobre la sostenibilidad financiera de</w:t>
      </w:r>
      <w:r w:rsidR="00A21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la Propuesta C.</w:t>
      </w:r>
    </w:p>
    <w:p w:rsidR="00A210F0" w:rsidRDefault="00A210F0">
      <w:pPr>
        <w:rPr>
          <w:rFonts w:ascii="Times New Roman" w:eastAsia="Wingdings3" w:hAnsi="Calibri" w:cs="Times New Roman"/>
          <w:color w:val="030038"/>
          <w:sz w:val="24"/>
          <w:szCs w:val="24"/>
        </w:rPr>
      </w:pPr>
      <w:r>
        <w:rPr>
          <w:rFonts w:ascii="Times New Roman" w:eastAsia="Wingdings3" w:hAnsi="Calibri" w:cs="Times New Roman"/>
          <w:color w:val="030038"/>
          <w:sz w:val="24"/>
          <w:szCs w:val="24"/>
        </w:rPr>
        <w:br w:type="page"/>
      </w:r>
    </w:p>
    <w:p w:rsidR="00B254C9" w:rsidRPr="00373662" w:rsidRDefault="00B254C9" w:rsidP="00B254C9">
      <w:pPr>
        <w:autoSpaceDE w:val="0"/>
        <w:autoSpaceDN w:val="0"/>
        <w:adjustRightInd w:val="0"/>
        <w:spacing w:after="0" w:line="240" w:lineRule="auto"/>
        <w:rPr>
          <w:rFonts w:ascii="Times New Roman" w:eastAsia="Wingdings3" w:hAnsi="Times New Roman" w:cs="Times New Roman"/>
          <w:b/>
          <w:bCs/>
          <w:color w:val="030038"/>
          <w:sz w:val="24"/>
          <w:szCs w:val="24"/>
        </w:rPr>
      </w:pPr>
      <w:r w:rsidRPr="00373662">
        <w:rPr>
          <w:rFonts w:ascii="Times New Roman" w:eastAsia="Wingdings3" w:hAnsi="Times New Roman" w:cs="Times New Roman"/>
          <w:b/>
          <w:bCs/>
          <w:color w:val="030038"/>
          <w:sz w:val="24"/>
          <w:szCs w:val="24"/>
        </w:rPr>
        <w:lastRenderedPageBreak/>
        <w:t>BIBLIOGRAFÍA</w:t>
      </w:r>
    </w:p>
    <w:p w:rsidR="00B254C9" w:rsidRPr="00A210F0" w:rsidRDefault="00B254C9" w:rsidP="00A210F0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10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 Libros y artículos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Arellano, J. P.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(1988).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Políticas sociales y </w:t>
      </w:r>
      <w:proofErr w:type="spell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desarrollo</w:t>
      </w:r>
      <w:proofErr w:type="gram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:Chile</w:t>
      </w:r>
      <w:proofErr w:type="spellEnd"/>
      <w:proofErr w:type="gramEnd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1924-1984.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Santiago de Chile:</w:t>
      </w:r>
      <w:r w:rsidR="00010BB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Alfabeta</w:t>
      </w:r>
      <w:proofErr w:type="spellEnd"/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Arenas de Mesa, A.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(2000).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Cobertura Previsional</w:t>
      </w:r>
      <w:r w:rsidR="00010BB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en Chile: Lecciones y desafíos del sistema</w:t>
      </w:r>
      <w:r w:rsidR="00010BB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de pensiones </w:t>
      </w:r>
      <w:proofErr w:type="spell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adiministrado</w:t>
      </w:r>
      <w:proofErr w:type="spellEnd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por el sector</w:t>
      </w:r>
      <w:r w:rsidR="00010BB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privado.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Santiago de Chile: CEPAL, Naciones</w:t>
      </w:r>
      <w:r w:rsidR="00010BB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Unidas.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proofErr w:type="spellStart"/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Attanasio</w:t>
      </w:r>
      <w:proofErr w:type="spellEnd"/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, O., </w:t>
      </w:r>
      <w:proofErr w:type="spellStart"/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Meghir</w:t>
      </w:r>
      <w:proofErr w:type="spellEnd"/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, C., &amp; Otero, A.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(2011).</w:t>
      </w:r>
      <w:r w:rsidR="00010BB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Pensiones, Trabajo e Informalidad: Impacto</w:t>
      </w:r>
      <w:r w:rsidR="00010BB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de la Reforma Previsional de Chile de 2008.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Santiago de Chile: DIPRES.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</w:pPr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>Barr, Nicholas</w:t>
      </w:r>
      <w:r w:rsidRPr="001C2324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(2008). </w:t>
      </w:r>
      <w:proofErr w:type="gramStart"/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Reforming pensions: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Principles and Policy Choices.</w:t>
      </w:r>
      <w:proofErr w:type="gramEnd"/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New York and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Oxford: Oxford University Press (with Peter Diamond).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proofErr w:type="spellStart"/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Barr</w:t>
      </w:r>
      <w:proofErr w:type="spellEnd"/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, N., &amp; </w:t>
      </w:r>
      <w:proofErr w:type="spellStart"/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Diamond</w:t>
      </w:r>
      <w:proofErr w:type="spellEnd"/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, P.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(2012).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La Reforma </w:t>
      </w:r>
      <w:proofErr w:type="spell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Necesaria</w:t>
      </w:r>
      <w:proofErr w:type="gram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:El</w:t>
      </w:r>
      <w:proofErr w:type="spellEnd"/>
      <w:proofErr w:type="gramEnd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futuro de las pensiones.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El hombre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del tres.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r w:rsidRPr="009A032A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Benavides, P., &amp; Jones, I.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(2012).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Sistema de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Pensiones y otros Beneficios </w:t>
      </w:r>
      <w:proofErr w:type="spell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Pecunarios</w:t>
      </w:r>
      <w:proofErr w:type="spellEnd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de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las Fuerzas Armadas y de Orden y Seguridad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y Gendarmería de Chile. Situación Actual y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Proyecciones Fiscales 2012-2050.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Santiago de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Chile: DIPRES.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proofErr w:type="spellStart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Bertranou</w:t>
      </w:r>
      <w:proofErr w:type="spellEnd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, F. M., &amp; Arenas de Mesa, A.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(2003).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Protección Social, Pensiones y Género en Argentina,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Brasil y Chile.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Ginebra: OIT.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proofErr w:type="spellStart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Cheyre</w:t>
      </w:r>
      <w:proofErr w:type="spellEnd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, H.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(1991).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La previsión en Chile ayer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y hoy.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Segunda Edición. Santiago de Chile: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Centro de Estudios Públicos.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Cifuentes, H., Arellano, P., Walker, F.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(2013)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Derecho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de la Seguridad Social, Parte General y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Pensiones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, Editorial </w:t>
      </w:r>
      <w:proofErr w:type="spellStart"/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Librotecnia</w:t>
      </w:r>
      <w:proofErr w:type="spellEnd"/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.</w:t>
      </w:r>
    </w:p>
    <w:p w:rsidR="00B254C9" w:rsidRPr="009A032A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>Cumsille</w:t>
      </w:r>
      <w:proofErr w:type="spellEnd"/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>, B.</w:t>
      </w:r>
      <w:r w:rsidRPr="001C2324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(2015).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The Chilean Pension </w:t>
      </w:r>
      <w:proofErr w:type="spell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>System</w:t>
      </w:r>
      <w:proofErr w:type="gram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>:Gender</w:t>
      </w:r>
      <w:proofErr w:type="spellEnd"/>
      <w:proofErr w:type="gramEnd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 Inequalities in Contribution Densities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Tesis</w:t>
      </w:r>
      <w:proofErr w:type="spellEnd"/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de magister), University of Texas,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Austin.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Instituto Nacional de Estadística (INE)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(2014).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Proyecciones de Población de Chile para el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Periodo 2020-2050 por encargo de la Comisión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Asesora Presidencial sobre el Sistema de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Pensiones.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Santiago de Chile: INE.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Departamento de Economía, Universidad de</w:t>
      </w:r>
      <w:r w:rsidR="009A032A"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 </w:t>
      </w: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Chile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(2012).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Análisis de la Evasión y la Elusión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en el Pago de las Cotizaciones Previsionales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y Medidas de Política Pública para Superar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sus Causas.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Santiago de Chile: Universidad de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Chile.</w:t>
      </w:r>
    </w:p>
    <w:p w:rsidR="00B254C9" w:rsidRPr="009A032A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>Kritzer</w:t>
      </w:r>
      <w:proofErr w:type="spellEnd"/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 xml:space="preserve">, Kay, </w:t>
      </w:r>
      <w:proofErr w:type="spellStart"/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>Sinha</w:t>
      </w:r>
      <w:proofErr w:type="spellEnd"/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(2011). </w:t>
      </w:r>
      <w:proofErr w:type="gramStart"/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Next Generation of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Individual Account Pension Reforms in Latin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America.</w:t>
      </w:r>
      <w:proofErr w:type="gramEnd"/>
      <w:r w:rsidRP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http://www.ssa.gov/policy/docs/ssb/v71n1/v71n1p35.html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</w:pPr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>Mesa-</w:t>
      </w:r>
      <w:proofErr w:type="spellStart"/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>Lago</w:t>
      </w:r>
      <w:proofErr w:type="spellEnd"/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>, Carmelo,</w:t>
      </w:r>
      <w:r w:rsidRPr="001C2324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(1978).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>Social Security in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>Latin America: Pressure Groups, Stratification,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and Inequality. </w:t>
      </w:r>
      <w:proofErr w:type="gramStart"/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Pitt Latin American.</w:t>
      </w:r>
      <w:proofErr w:type="gramEnd"/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Pittsburgh: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University of Pittsburgh Press.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</w:pPr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lastRenderedPageBreak/>
        <w:t>Mesa-</w:t>
      </w:r>
      <w:proofErr w:type="spellStart"/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>Lago</w:t>
      </w:r>
      <w:proofErr w:type="spellEnd"/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>, C.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(2008),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Reassembling Social </w:t>
      </w:r>
      <w:proofErr w:type="spell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>Security</w:t>
      </w:r>
      <w:proofErr w:type="gram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>:A</w:t>
      </w:r>
      <w:proofErr w:type="spellEnd"/>
      <w:proofErr w:type="gramEnd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 Survey of Pension and Healthcare Reforms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in Latin America,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Oxford University Press.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Mesa Lago, Carmelo &amp; </w:t>
      </w:r>
      <w:proofErr w:type="spellStart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Bertranou</w:t>
      </w:r>
      <w:proofErr w:type="spellEnd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, Fabio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(2015), Documentos de Principio de Seguridad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Social, Comisión Pensiones.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</w:p>
    <w:p w:rsidR="00B254C9" w:rsidRPr="009A032A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OCDE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(2015).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Estudio sobre tasas de </w:t>
      </w:r>
      <w:proofErr w:type="spell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reemplazoy</w:t>
      </w:r>
      <w:proofErr w:type="spellEnd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otros temas relacionados con el Sistema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de pensiones.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</w:pPr>
      <w:proofErr w:type="gramStart"/>
      <w:r w:rsidRPr="001C2324">
        <w:rPr>
          <w:rFonts w:ascii="Times New Roman" w:eastAsia="Wingdings3" w:hAnsi="Times New Roman" w:cs="Times New Roman"/>
          <w:b/>
          <w:color w:val="000000"/>
          <w:sz w:val="24"/>
          <w:szCs w:val="24"/>
          <w:lang w:val="en-US"/>
        </w:rPr>
        <w:t xml:space="preserve">OCDE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(2013).</w:t>
      </w:r>
      <w:proofErr w:type="gramEnd"/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>Pensions at a Glance 2013</w:t>
      </w:r>
      <w:proofErr w:type="gram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>:OECD</w:t>
      </w:r>
      <w:proofErr w:type="gramEnd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  <w:lang w:val="en-US"/>
        </w:rPr>
        <w:t xml:space="preserve"> and G20 Indicators,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OECD Publishing,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Paris.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  <w:lang w:val="en-US"/>
        </w:rPr>
        <w:t>DOI: http://dx.doi.org/10.1787/pension_glance-2013-en</w:t>
      </w:r>
    </w:p>
    <w:p w:rsidR="00B254C9" w:rsidRPr="009A032A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Todd, P., &amp; </w:t>
      </w:r>
      <w:proofErr w:type="spellStart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Joubert</w:t>
      </w:r>
      <w:proofErr w:type="spellEnd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, C.</w:t>
      </w:r>
      <w:r w:rsidRPr="001C2324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(2011).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Impacto de la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Reforma Previsional de Chile de 2008 sobre la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participación de la fuerza laboral, el ahorro</w:t>
      </w:r>
      <w:r w:rsidR="009A032A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previsional y la equidad de género.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Santiago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de Chile: DIPRES. 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Disponible en http://www. dipres.</w:t>
      </w:r>
      <w:r w:rsidRP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gob. </w:t>
      </w:r>
      <w:proofErr w:type="spellStart"/>
      <w:r w:rsidRPr="009A032A">
        <w:rPr>
          <w:rFonts w:ascii="Times New Roman" w:eastAsia="Wingdings3" w:hAnsi="Times New Roman" w:cs="Times New Roman"/>
          <w:color w:val="000000"/>
          <w:sz w:val="24"/>
          <w:szCs w:val="24"/>
        </w:rPr>
        <w:t>cl</w:t>
      </w:r>
      <w:proofErr w:type="spellEnd"/>
      <w:r w:rsidRP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/594/articles-89389_doc_1pdf. </w:t>
      </w:r>
      <w:proofErr w:type="spellStart"/>
      <w:proofErr w:type="gramStart"/>
      <w:r w:rsidRPr="009A032A">
        <w:rPr>
          <w:rFonts w:ascii="Times New Roman" w:eastAsia="Wingdings3" w:hAnsi="Times New Roman" w:cs="Times New Roman"/>
          <w:color w:val="000000"/>
          <w:sz w:val="24"/>
          <w:szCs w:val="24"/>
        </w:rPr>
        <w:t>pdf</w:t>
      </w:r>
      <w:proofErr w:type="spellEnd"/>
      <w:proofErr w:type="gramEnd"/>
      <w:r w:rsidRPr="009A032A">
        <w:rPr>
          <w:rFonts w:ascii="Times New Roman" w:eastAsia="Wingdings3" w:hAnsi="Times New Roman" w:cs="Times New Roman"/>
          <w:color w:val="000000"/>
          <w:sz w:val="24"/>
          <w:szCs w:val="24"/>
        </w:rPr>
        <w:t>.</w:t>
      </w:r>
    </w:p>
    <w:p w:rsidR="00B254C9" w:rsidRPr="00373662" w:rsidRDefault="00B254C9" w:rsidP="009A032A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eastAsia="Wingdings3" w:hAnsi="Times New Roman" w:cs="Times New Roman"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Wagner, G.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(1983). </w:t>
      </w:r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Estudio de la Reforma </w:t>
      </w:r>
      <w:proofErr w:type="spell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Previsional</w:t>
      </w:r>
      <w:proofErr w:type="gramStart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>:Previsión</w:t>
      </w:r>
      <w:proofErr w:type="spellEnd"/>
      <w:proofErr w:type="gramEnd"/>
      <w:r w:rsidRPr="00373662">
        <w:rPr>
          <w:rFonts w:ascii="Times New Roman" w:eastAsia="Wingdings3" w:hAnsi="Times New Roman" w:cs="Times New Roman"/>
          <w:i/>
          <w:iCs/>
          <w:color w:val="000000"/>
          <w:sz w:val="24"/>
          <w:szCs w:val="24"/>
        </w:rPr>
        <w:t xml:space="preserve"> Social Chilena, Antiguo Sistema.1925-1980.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Santiago de Chile: Universidad</w:t>
      </w:r>
      <w:r w:rsidR="009A032A">
        <w:rPr>
          <w:rFonts w:ascii="Times New Roman" w:eastAsia="Wingdings3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eastAsia="Wingdings3" w:hAnsi="Times New Roman" w:cs="Times New Roman"/>
          <w:color w:val="000000"/>
          <w:sz w:val="24"/>
          <w:szCs w:val="24"/>
        </w:rPr>
        <w:t>Católica de Chile.</w:t>
      </w:r>
    </w:p>
    <w:p w:rsidR="00B254C9" w:rsidRPr="00373662" w:rsidRDefault="00B254C9" w:rsidP="00B254C9">
      <w:pPr>
        <w:rPr>
          <w:rFonts w:ascii="Times New Roman" w:eastAsia="Wingdings3" w:hAnsi="Times New Roman" w:cs="Times New Roman"/>
          <w:color w:val="000000"/>
          <w:sz w:val="24"/>
          <w:szCs w:val="24"/>
        </w:rPr>
      </w:pPr>
    </w:p>
    <w:p w:rsidR="00B254C9" w:rsidRPr="00373662" w:rsidRDefault="00B254C9" w:rsidP="00A210F0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36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B. Bases de datos y encuestas</w:t>
      </w:r>
    </w:p>
    <w:p w:rsidR="00B254C9" w:rsidRPr="00373662" w:rsidRDefault="00B254C9" w:rsidP="00A210F0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Ministerio de Desarrollo Social.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 xml:space="preserve"> Encuesta de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Caracterización Socioeconómica (CASEN).</w:t>
      </w:r>
      <w:r w:rsidR="00A21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Disponible en: &lt;http://www.ministeriodesarrollosocial.gob.cl/resultados-encuesta-casen-2013/ &gt;</w:t>
      </w:r>
    </w:p>
    <w:p w:rsidR="00B254C9" w:rsidRPr="00373662" w:rsidRDefault="00B254C9" w:rsidP="00A210F0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Servicio Nacional del Adulto Mayor (SENAMA),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Instituto de Nutrición y Tecnología de</w:t>
      </w:r>
      <w:r w:rsid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 </w:t>
      </w: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los Alimentos &amp; Centro de </w:t>
      </w:r>
      <w:proofErr w:type="spellStart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Microdatos</w:t>
      </w:r>
      <w:proofErr w:type="spellEnd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 de la</w:t>
      </w:r>
      <w:r w:rsidR="009A032A"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 </w:t>
      </w: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Universidad de Chile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 xml:space="preserve"> (2010). Estudio Nacional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 la Dependencia en las Personas Mayores.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Santiago de Chile.</w:t>
      </w:r>
    </w:p>
    <w:p w:rsidR="00B254C9" w:rsidRPr="00373662" w:rsidRDefault="00B254C9" w:rsidP="00A210F0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Instituto Nacional de Estadísticas (INE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). Encuesta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Experimental de Uso del Tiempo (2007).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Santiago de Chile.</w:t>
      </w:r>
    </w:p>
    <w:p w:rsidR="00B254C9" w:rsidRPr="00373662" w:rsidRDefault="00B254C9" w:rsidP="00A210F0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Comisión de Pensiones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 xml:space="preserve"> (2014), Encuesta de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opinión y percepción del Sistema de Pensiones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en Chile. [</w:t>
      </w:r>
      <w:r w:rsidR="00A210F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ase de datos].</w:t>
      </w:r>
    </w:p>
    <w:p w:rsidR="00B254C9" w:rsidRPr="00373662" w:rsidRDefault="00B254C9" w:rsidP="00A210F0">
      <w:pPr>
        <w:autoSpaceDE w:val="0"/>
        <w:autoSpaceDN w:val="0"/>
        <w:adjustRightInd w:val="0"/>
        <w:spacing w:after="120" w:line="240" w:lineRule="auto"/>
        <w:ind w:left="1559" w:hanging="15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Peláez, M., </w:t>
      </w:r>
      <w:proofErr w:type="spellStart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Palloni</w:t>
      </w:r>
      <w:proofErr w:type="spellEnd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, A., </w:t>
      </w:r>
      <w:proofErr w:type="spellStart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Albala</w:t>
      </w:r>
      <w:proofErr w:type="spellEnd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, C., Alfonso, J. C.,</w:t>
      </w:r>
      <w:r w:rsidR="009A032A"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Ham</w:t>
      </w:r>
      <w:proofErr w:type="spellEnd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 xml:space="preserve">-Chande, R., </w:t>
      </w:r>
      <w:proofErr w:type="spellStart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Hennis</w:t>
      </w:r>
      <w:proofErr w:type="spellEnd"/>
      <w:r w:rsidRPr="00A210F0">
        <w:rPr>
          <w:rFonts w:ascii="Times New Roman" w:eastAsia="Wingdings3" w:hAnsi="Times New Roman" w:cs="Times New Roman"/>
          <w:b/>
          <w:color w:val="000000"/>
          <w:sz w:val="24"/>
          <w:szCs w:val="24"/>
        </w:rPr>
        <w:t>, A. &amp; Prats, O.</w:t>
      </w:r>
      <w:r w:rsidRPr="009A032A">
        <w:rPr>
          <w:rFonts w:ascii="Times New Roman" w:hAnsi="Times New Roman" w:cs="Times New Roman"/>
          <w:color w:val="000000"/>
          <w:sz w:val="24"/>
          <w:szCs w:val="24"/>
        </w:rPr>
        <w:t xml:space="preserve"> (2004).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SABE: Encuesta Salud, Bienestar y Envejecimiento,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2000. Organización Panamericana</w:t>
      </w:r>
      <w:r w:rsidR="009A0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662">
        <w:rPr>
          <w:rFonts w:ascii="Times New Roman" w:hAnsi="Times New Roman" w:cs="Times New Roman"/>
          <w:color w:val="000000"/>
          <w:sz w:val="24"/>
          <w:szCs w:val="24"/>
        </w:rPr>
        <w:t>de la Salud.</w:t>
      </w:r>
    </w:p>
    <w:p w:rsidR="00B254C9" w:rsidRPr="00373662" w:rsidRDefault="00B254C9" w:rsidP="00B254C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254C9" w:rsidRPr="00373662" w:rsidRDefault="00B254C9" w:rsidP="00B254C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254C9" w:rsidRPr="00373662" w:rsidRDefault="00B254C9" w:rsidP="00B254C9">
      <w:pPr>
        <w:rPr>
          <w:rFonts w:ascii="Times New Roman" w:eastAsia="Wingdings2" w:hAnsi="Times New Roman" w:cs="Times New Roman"/>
          <w:color w:val="333333"/>
          <w:sz w:val="24"/>
          <w:szCs w:val="24"/>
        </w:rPr>
      </w:pPr>
    </w:p>
    <w:p w:rsidR="00B254C9" w:rsidRPr="00373662" w:rsidRDefault="00B254C9" w:rsidP="00B254C9">
      <w:pPr>
        <w:rPr>
          <w:rFonts w:ascii="Times New Roman" w:eastAsia="Wingdings2" w:hAnsi="Times New Roman" w:cs="Times New Roman"/>
          <w:color w:val="333333"/>
          <w:sz w:val="24"/>
          <w:szCs w:val="24"/>
        </w:rPr>
      </w:pPr>
    </w:p>
    <w:p w:rsidR="00B254C9" w:rsidRPr="00373662" w:rsidRDefault="00B254C9" w:rsidP="00B254C9">
      <w:pPr>
        <w:rPr>
          <w:rFonts w:ascii="Times New Roman" w:eastAsia="Wingdings2" w:hAnsi="Times New Roman" w:cs="Times New Roman"/>
          <w:color w:val="333333"/>
          <w:sz w:val="24"/>
          <w:szCs w:val="24"/>
        </w:rPr>
      </w:pPr>
    </w:p>
    <w:p w:rsidR="00B254C9" w:rsidRPr="00373662" w:rsidRDefault="00B254C9" w:rsidP="00B254C9">
      <w:pPr>
        <w:rPr>
          <w:rFonts w:ascii="Times New Roman" w:hAnsi="Times New Roman" w:cs="Times New Roman"/>
          <w:sz w:val="24"/>
          <w:szCs w:val="24"/>
        </w:rPr>
      </w:pPr>
    </w:p>
    <w:sectPr w:rsidR="00B254C9" w:rsidRPr="00373662" w:rsidSect="00655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A1E35"/>
    <w:multiLevelType w:val="hybridMultilevel"/>
    <w:tmpl w:val="2716FB7E"/>
    <w:lvl w:ilvl="0" w:tplc="04C2BF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B35C1"/>
    <w:multiLevelType w:val="hybridMultilevel"/>
    <w:tmpl w:val="2716FB7E"/>
    <w:lvl w:ilvl="0" w:tplc="04C2BF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14935"/>
    <w:multiLevelType w:val="hybridMultilevel"/>
    <w:tmpl w:val="997214A8"/>
    <w:lvl w:ilvl="0" w:tplc="1116CB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hyphenationZone w:val="425"/>
  <w:characterSpacingControl w:val="doNotCompress"/>
  <w:compat/>
  <w:rsids>
    <w:rsidRoot w:val="00B254C9"/>
    <w:rsid w:val="00010BB2"/>
    <w:rsid w:val="001C2324"/>
    <w:rsid w:val="00333CCE"/>
    <w:rsid w:val="00373662"/>
    <w:rsid w:val="00563FC7"/>
    <w:rsid w:val="0061293A"/>
    <w:rsid w:val="006553BD"/>
    <w:rsid w:val="009A032A"/>
    <w:rsid w:val="00A210F0"/>
    <w:rsid w:val="00A26A8F"/>
    <w:rsid w:val="00A91636"/>
    <w:rsid w:val="00AA0ECB"/>
    <w:rsid w:val="00B254C9"/>
    <w:rsid w:val="00CD5569"/>
    <w:rsid w:val="00D0252F"/>
    <w:rsid w:val="00ED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1996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Cristóbal Videla-Hintze</dc:creator>
  <cp:lastModifiedBy>arauco3</cp:lastModifiedBy>
  <cp:revision>4</cp:revision>
  <dcterms:created xsi:type="dcterms:W3CDTF">2016-10-12T13:46:00Z</dcterms:created>
  <dcterms:modified xsi:type="dcterms:W3CDTF">2016-10-13T13:15:00Z</dcterms:modified>
</cp:coreProperties>
</file>