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Cronología Brasil monárquico (1822-1889)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1822 → Independencia (12 de diciembre. Pedro de Portugal rompe con Portugal y es proclamado emperador de Brasil)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1823 → Asamblea Constituyente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1824 → Reconocimiento de la independencia por los EE.UU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Constitución de 1824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Confederación del Ecuador (Pernambuco)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Fusilamiento de J. do Amor Divino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1825 → Reconocimiento de la independencia por Portugal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Guerra Brasil y Buenos Aires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Rebelión Banda Oriental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1827 → Derrota en Ituzaingó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1828 → Independencia de Uruguay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Motín en Río de irlandeses y alemanes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1829 → Cierra el Banco de Brasil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1830 → Caída de Carlos X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Código Criminal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1831 → Abdica Pedro I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Inicia la Regencia (1831-1840)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Creación de la Guardia Nacional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1832 → Código de proceso criminal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Guerra dos cabanos (Pernambuco) 1832-1835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Inicio de un período de rebeliones en Brasil (1832-1845)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1834 → Muerte de Pedro I en Portugal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Acto adicional (reforma constitucional)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Supreción del Consejo de Estado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1835 → Cabanagem (revuelta en Pará) 1835-1840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Farroupilha (revuelta en Río Grande do Sul) 1835-1845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1837 → Sabinada (revuelta en Bahía) 1837-1838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1838 → Balaiada (revuelta en Maranhao) 1838-1840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1840 → Fin de la Regencia y coronamiento de Pedro II (Segundo Reinado 1840-1889)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1841 → Se restablece el Consejo de Estado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1842 → Rebeliones en Sao Paulo y Minas Gerais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1846 → Bill Aberdeen (ley inglesa contra los navíos negreros)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1848 → Rebelión Praieira (Pernambuco) 1848-1850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1850 → Ley de ilegalidad de la trata de negros y tráfico de esclavos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Ley de Tierras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Código Comercial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Centralización de la Guardia Nacional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1863 → Ruptura de relaciones con Inglaterra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Guerra Brasil-Paraguay (1864-1870)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1871 → Ley de Vientre Libre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1880 → Proceso de inmigración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1885 → Ley de Sexagenarios (liberación a esclavos mayores de 60 años)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1886 → Sociedad promotora de la inmigración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1888 → Abolición de la esclavitud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1889 → Proclamación de la República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