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a"/>
        <w:tblW w:w="10440" w:type="dxa"/>
        <w:tblInd w:w="-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2"/>
        <w:gridCol w:w="2410"/>
        <w:gridCol w:w="2693"/>
        <w:gridCol w:w="3905"/>
      </w:tblGrid>
      <w:tr w:rsidR="00100953" w14:paraId="37E46C67" w14:textId="77777777" w:rsidTr="003B3DB5">
        <w:tc>
          <w:tcPr>
            <w:tcW w:w="1432" w:type="dxa"/>
          </w:tcPr>
          <w:p w14:paraId="43422EC6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Nivel de Bloom</w:t>
            </w:r>
          </w:p>
        </w:tc>
        <w:tc>
          <w:tcPr>
            <w:tcW w:w="2410" w:type="dxa"/>
          </w:tcPr>
          <w:p w14:paraId="5D093519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Definición del nivel</w:t>
            </w:r>
          </w:p>
        </w:tc>
        <w:tc>
          <w:tcPr>
            <w:tcW w:w="2693" w:type="dxa"/>
          </w:tcPr>
          <w:p w14:paraId="4546F1C0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Actividades de aprendizaje</w:t>
            </w:r>
          </w:p>
        </w:tc>
        <w:tc>
          <w:tcPr>
            <w:tcW w:w="3905" w:type="dxa"/>
          </w:tcPr>
          <w:p w14:paraId="4DB51B48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Ejemplos de actividades de lengua extranjera</w:t>
            </w:r>
          </w:p>
        </w:tc>
      </w:tr>
      <w:tr w:rsidR="00100953" w14:paraId="4AC99A40" w14:textId="77777777" w:rsidTr="003B3DB5">
        <w:tc>
          <w:tcPr>
            <w:tcW w:w="1432" w:type="dxa"/>
          </w:tcPr>
          <w:p w14:paraId="511F7DB0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Crear</w:t>
            </w:r>
          </w:p>
        </w:tc>
        <w:tc>
          <w:tcPr>
            <w:tcW w:w="2410" w:type="dxa"/>
          </w:tcPr>
          <w:p w14:paraId="4025B3B6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Juntar información e ideas para desarrollar una idea original o involucrarse en pensamiento crítico</w:t>
            </w:r>
          </w:p>
          <w:p w14:paraId="016C20BE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C30C169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578AF50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3" w:type="dxa"/>
          </w:tcPr>
          <w:p w14:paraId="61EA710E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Componer, construir, crear, diseñar, estimar, predecir, generar, hipotetizar, imaginar, inferir, inventar, hacer, planear, producir, hacer un juego de roles, re-arreglar partes, presentar, proponer, transformar, escribir.</w:t>
            </w:r>
          </w:p>
        </w:tc>
        <w:tc>
          <w:tcPr>
            <w:tcW w:w="3905" w:type="dxa"/>
          </w:tcPr>
          <w:p w14:paraId="7A001846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Crear historias, comerciales, cuadros, encuestas, folletos, posters, presentaciones, canciones, producciones (modo </w:t>
            </w:r>
            <w:proofErr w:type="spellStart"/>
            <w:r>
              <w:t>presentacional</w:t>
            </w:r>
            <w:proofErr w:type="spellEnd"/>
            <w:r>
              <w:t>)</w:t>
            </w:r>
          </w:p>
          <w:p w14:paraId="70B02EBC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FDE57F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Escribir ensayos, poemas, nuevos finales para historias, informes, recetas, noticias, diseñar juegos, lecciones, tiras cómicas, invenciones, modelos de productos culturales, responder a situaciones hipotéticas, juegos de roles abiertos, situaciones culturalmente auténticas (modo interpersonal)</w:t>
            </w:r>
          </w:p>
          <w:p w14:paraId="745A1512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EE74EDF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Entregar interpretaciones alternativas de un texto basados en perspectivas culturales, históricas o personales (modo interpretativo).</w:t>
            </w:r>
          </w:p>
        </w:tc>
      </w:tr>
      <w:tr w:rsidR="00100953" w14:paraId="50820575" w14:textId="77777777" w:rsidTr="003B3DB5">
        <w:tc>
          <w:tcPr>
            <w:tcW w:w="1432" w:type="dxa"/>
          </w:tcPr>
          <w:p w14:paraId="332F6FE7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Evaluar</w:t>
            </w:r>
          </w:p>
        </w:tc>
        <w:tc>
          <w:tcPr>
            <w:tcW w:w="2410" w:type="dxa"/>
          </w:tcPr>
          <w:p w14:paraId="3DE4C4EA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Juzgar el valor de ideas y materiales al desarrollar y aplicar criterios específicos y/o estándares</w:t>
            </w:r>
          </w:p>
          <w:p w14:paraId="0C63103D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F72B5B9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EB25192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F0464D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1C5BFFB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62C904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3" w:type="dxa"/>
          </w:tcPr>
          <w:p w14:paraId="0AC66736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Evaluar, considerar, revisar, criticar, debatir, discutir, experimentar, evaluar, dar una opinión, juzgar, priorizar, recomendar, relacionarse con el tema, resumir, sopesar. </w:t>
            </w:r>
          </w:p>
        </w:tc>
        <w:tc>
          <w:tcPr>
            <w:tcW w:w="3905" w:type="dxa"/>
          </w:tcPr>
          <w:p w14:paraId="78724467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Hacer debates, juicios, discusiones, paneles (modo interpersonal)</w:t>
            </w:r>
          </w:p>
          <w:p w14:paraId="52B70FB0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3E1BEE9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Escribir cartas, recomendaciones, resúmenes de encuestas, editoriales de periódicos,  discursos persuasivos,  evaluaciones y autoevaluaciones (modo </w:t>
            </w:r>
            <w:proofErr w:type="spellStart"/>
            <w:r>
              <w:t>presentacional</w:t>
            </w:r>
            <w:proofErr w:type="spellEnd"/>
            <w:r>
              <w:t>)</w:t>
            </w:r>
          </w:p>
          <w:p w14:paraId="1665C0AC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9D39A9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Diseñar y conducir experimentos basados en el contenido, evaluar las acciones de un personaje en una historia (modo interpretativo)</w:t>
            </w:r>
          </w:p>
          <w:p w14:paraId="22B9E48F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00953" w14:paraId="0D64AAE4" w14:textId="77777777" w:rsidTr="003B3DB5">
        <w:tc>
          <w:tcPr>
            <w:tcW w:w="1432" w:type="dxa"/>
          </w:tcPr>
          <w:p w14:paraId="27184C98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Analizar</w:t>
            </w:r>
          </w:p>
        </w:tc>
        <w:tc>
          <w:tcPr>
            <w:tcW w:w="2410" w:type="dxa"/>
          </w:tcPr>
          <w:p w14:paraId="6A3F3D0E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Segmentar información en partes más pequeñas de modo que pueda ser comprendida</w:t>
            </w:r>
          </w:p>
          <w:p w14:paraId="17163A20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C090A7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7A24E4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0E630F1" w14:textId="77777777" w:rsidR="00100953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693" w:type="dxa"/>
          </w:tcPr>
          <w:p w14:paraId="79F07FE3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Analizar, clasificar, comparar, contrastar, deconstruir, deducir diferenciar, </w:t>
            </w:r>
            <w:proofErr w:type="spellStart"/>
            <w:r>
              <w:t>disectar</w:t>
            </w:r>
            <w:proofErr w:type="spellEnd"/>
            <w:r>
              <w:t>, inferir, integrar, investigar, organizar, hacer un punteo, pintar, informar, hacer una encuesta, seleccionar, separar, resolver, estructurar, subdividir.</w:t>
            </w:r>
          </w:p>
        </w:tc>
        <w:tc>
          <w:tcPr>
            <w:tcW w:w="3905" w:type="dxa"/>
          </w:tcPr>
          <w:p w14:paraId="1A672EB7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Definir palabras y expresiones, crear diagramas, cuadros, gráficos, ilustraciones, planilla de cálculo, punteos, desarrollar encuestas y cuestionarios (modo </w:t>
            </w:r>
            <w:proofErr w:type="spellStart"/>
            <w:r>
              <w:t>presentacional</w:t>
            </w:r>
            <w:proofErr w:type="spellEnd"/>
            <w:r>
              <w:t>)</w:t>
            </w:r>
          </w:p>
          <w:p w14:paraId="0377D0B7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8EB2BB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Conducir investigaciones culturales, comparar y contrastar características de la L1 y la L2 comparar y contrastar productos, prácticas, perspectivas en L1 y L2. (modo interpretativo)</w:t>
            </w:r>
          </w:p>
          <w:p w14:paraId="4B6B76E4" w14:textId="77777777" w:rsid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BCE330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Inferir ideas de textos auténticos (modo interpretativo).</w:t>
            </w:r>
          </w:p>
        </w:tc>
      </w:tr>
      <w:tr w:rsidR="00100953" w14:paraId="6027A2B4" w14:textId="77777777" w:rsidTr="003B3DB5">
        <w:tc>
          <w:tcPr>
            <w:tcW w:w="1432" w:type="dxa"/>
          </w:tcPr>
          <w:p w14:paraId="69FCA971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Aplicar</w:t>
            </w:r>
          </w:p>
        </w:tc>
        <w:tc>
          <w:tcPr>
            <w:tcW w:w="2410" w:type="dxa"/>
          </w:tcPr>
          <w:p w14:paraId="1CFD523C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Usar información aprendida, conceptos y principios para completar nuevas tareas</w:t>
            </w:r>
          </w:p>
        </w:tc>
        <w:tc>
          <w:tcPr>
            <w:tcW w:w="2693" w:type="dxa"/>
          </w:tcPr>
          <w:p w14:paraId="3D4876C7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Ejecutar, practicar, calcular, aplicar, construir, llevar a cabo, cambiar, demostrar, modificar, implementar, entrevistar, grabar, reportar, resolver, esbozar (sketch), enseñar, usar guías/cuadros/mapas, preparar</w:t>
            </w:r>
          </w:p>
        </w:tc>
        <w:tc>
          <w:tcPr>
            <w:tcW w:w="3905" w:type="dxa"/>
          </w:tcPr>
          <w:p w14:paraId="200185DD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Hacer entrevistas y discusiones siguiendo un modelo (modo interpersonal), diseñar maquetas (</w:t>
            </w:r>
            <w:proofErr w:type="spellStart"/>
            <w:r>
              <w:t>models</w:t>
            </w:r>
            <w:proofErr w:type="spellEnd"/>
            <w:r>
              <w:t xml:space="preserve">), dibujos, pinturas, ilustraciones, proyectos, actuaciones que siguen punteo o criterios (modo </w:t>
            </w:r>
            <w:proofErr w:type="spellStart"/>
            <w:r>
              <w:t>presentacional</w:t>
            </w:r>
            <w:proofErr w:type="spellEnd"/>
            <w:r>
              <w:t>)</w:t>
            </w:r>
          </w:p>
          <w:p w14:paraId="75793364" w14:textId="77777777" w:rsidR="00100953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Seguir mapas, direcciones/instrucciones verbales, recetas o experimentos; desarrollar lecciones para enseñar material/habilidades; completar rompecabezas (</w:t>
            </w:r>
            <w:proofErr w:type="spellStart"/>
            <w:r>
              <w:t>puzzle</w:t>
            </w:r>
            <w:proofErr w:type="spellEnd"/>
            <w:r>
              <w:t>); continuar una historia que se ha escuchado o leído (modo interpretativo).</w:t>
            </w:r>
          </w:p>
          <w:p w14:paraId="45B587CD" w14:textId="77777777" w:rsidR="00100953" w:rsidRDefault="00100953" w:rsidP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00953" w:rsidRPr="003B3DB5" w14:paraId="13ED25F9" w14:textId="77777777" w:rsidTr="003B3DB5">
        <w:tc>
          <w:tcPr>
            <w:tcW w:w="1432" w:type="dxa"/>
          </w:tcPr>
          <w:p w14:paraId="6B99CE6C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>Comprender</w:t>
            </w:r>
          </w:p>
        </w:tc>
        <w:tc>
          <w:tcPr>
            <w:tcW w:w="2410" w:type="dxa"/>
          </w:tcPr>
          <w:p w14:paraId="0690E8D1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>Encontrarle sentido al material</w:t>
            </w:r>
          </w:p>
        </w:tc>
        <w:tc>
          <w:tcPr>
            <w:tcW w:w="2693" w:type="dxa"/>
          </w:tcPr>
          <w:p w14:paraId="00405CD7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>Resumir, discutir, explicar, hacer un punteo, demostrar la comprensión de algo, interpretar, parafrasear, relacionar, predecir, mostrar, distinguir, ilustrar, reescribir</w:t>
            </w:r>
          </w:p>
        </w:tc>
        <w:tc>
          <w:tcPr>
            <w:tcW w:w="3905" w:type="dxa"/>
          </w:tcPr>
          <w:p w14:paraId="40365F73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 xml:space="preserve">Hacer un resumen de lo esencial de un audio, video o un segmento auténtico impreso (modo interpretativo); hacer predicciones/ilustraciones para un texto auténtico; escribir conclusiones/implicancias basadas en datos (modo </w:t>
            </w:r>
            <w:proofErr w:type="spellStart"/>
            <w:r w:rsidRPr="003B3DB5">
              <w:rPr>
                <w:szCs w:val="36"/>
              </w:rPr>
              <w:t>presentacional</w:t>
            </w:r>
            <w:proofErr w:type="spellEnd"/>
            <w:r w:rsidRPr="003B3DB5">
              <w:rPr>
                <w:szCs w:val="36"/>
              </w:rPr>
              <w:t>); dar ejemplos de productos culturales, prácticas, perspectivas; explicar el significado de un artefacto cultural o un de un objeto en el mundo personal del alumno.</w:t>
            </w:r>
          </w:p>
          <w:p w14:paraId="00F8933A" w14:textId="77777777" w:rsidR="00100953" w:rsidRPr="003B3DB5" w:rsidRDefault="00100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</w:p>
          <w:p w14:paraId="5B34CEC4" w14:textId="77777777" w:rsidR="00100953" w:rsidRPr="003B3DB5" w:rsidRDefault="00100953" w:rsidP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</w:p>
        </w:tc>
      </w:tr>
      <w:tr w:rsidR="00100953" w:rsidRPr="003B3DB5" w14:paraId="6BB5A703" w14:textId="77777777" w:rsidTr="003B3DB5">
        <w:tc>
          <w:tcPr>
            <w:tcW w:w="1432" w:type="dxa"/>
          </w:tcPr>
          <w:p w14:paraId="0BD68E90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 xml:space="preserve">Recordar </w:t>
            </w:r>
          </w:p>
        </w:tc>
        <w:tc>
          <w:tcPr>
            <w:tcW w:w="2410" w:type="dxa"/>
          </w:tcPr>
          <w:p w14:paraId="4127DA44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>Recordar y reconocer el material aprendido</w:t>
            </w:r>
          </w:p>
        </w:tc>
        <w:tc>
          <w:tcPr>
            <w:tcW w:w="2693" w:type="dxa"/>
          </w:tcPr>
          <w:p w14:paraId="30ED4622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>Identificar, etiquetar, recordar, definir, describir, encontrar, agrupar, reconocer, listar, ubicar físicamente, hacer parejas, nombrar, recitar, repetir, seleccionar, clasificar, descubrir.</w:t>
            </w:r>
          </w:p>
        </w:tc>
        <w:tc>
          <w:tcPr>
            <w:tcW w:w="3905" w:type="dxa"/>
          </w:tcPr>
          <w:p w14:paraId="19A8619E" w14:textId="77777777" w:rsidR="00100953" w:rsidRPr="003B3DB5" w:rsidRDefault="003B3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36"/>
              </w:rPr>
            </w:pPr>
            <w:r w:rsidRPr="003B3DB5">
              <w:rPr>
                <w:szCs w:val="36"/>
              </w:rPr>
              <w:t>Poner nombres a dibujos o cualquier tipo de material visual, hacer listas de expresiones para un tema dado, nombrar palabras en una categoría específica (ej. meses del año, comida, estaciones, etc.), recitar número</w:t>
            </w:r>
            <w:r>
              <w:rPr>
                <w:szCs w:val="36"/>
              </w:rPr>
              <w:t>s</w:t>
            </w:r>
            <w:r w:rsidRPr="003B3DB5">
              <w:rPr>
                <w:szCs w:val="36"/>
              </w:rPr>
              <w:t>, alfabeto, días, etc., mencionar hechos relacionados con la cultura de la lengua meta, parear productos culturales y prácticas a perspectivas, localizar en un mapa países en los cuales la lengua meta se habla</w:t>
            </w:r>
          </w:p>
        </w:tc>
      </w:tr>
    </w:tbl>
    <w:p w14:paraId="32D51C45" w14:textId="77777777" w:rsidR="00100953" w:rsidRDefault="00100953">
      <w:pPr>
        <w:pBdr>
          <w:top w:val="nil"/>
          <w:left w:val="nil"/>
          <w:bottom w:val="nil"/>
          <w:right w:val="nil"/>
          <w:between w:val="nil"/>
        </w:pBdr>
      </w:pPr>
    </w:p>
    <w:sectPr w:rsidR="0010095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53"/>
    <w:rsid w:val="00100953"/>
    <w:rsid w:val="002E71D9"/>
    <w:rsid w:val="003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89B7"/>
  <w15:docId w15:val="{BCE55F6A-1D76-4C04-9C1B-C78D3F2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Español2</dc:creator>
  <cp:lastModifiedBy>Rosa</cp:lastModifiedBy>
  <cp:revision>2</cp:revision>
  <dcterms:created xsi:type="dcterms:W3CDTF">2020-12-03T20:52:00Z</dcterms:created>
  <dcterms:modified xsi:type="dcterms:W3CDTF">2020-12-03T20:52:00Z</dcterms:modified>
</cp:coreProperties>
</file>