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3E3D" w14:textId="77777777" w:rsidR="002C704A" w:rsidRPr="00C00801" w:rsidRDefault="002C704A" w:rsidP="002C704A">
      <w:pPr>
        <w:shd w:val="clear" w:color="auto" w:fill="EAEBD7"/>
        <w:spacing w:line="324" w:lineRule="atLeast"/>
        <w:jc w:val="center"/>
        <w:rPr>
          <w:rFonts w:ascii="Bell MT" w:hAnsi="Bell MT" w:cs="Times New Roman"/>
          <w:color w:val="99CCCC"/>
          <w:shd w:val="clear" w:color="auto" w:fill="EAEBD7"/>
          <w:lang w:val="es-CL"/>
        </w:rPr>
      </w:pPr>
      <w:r w:rsidRPr="002C704A">
        <w:rPr>
          <w:rFonts w:ascii="Bell MT" w:eastAsia="Times New Roman" w:hAnsi="Bell MT" w:cs="Times New Roman"/>
          <w:b/>
          <w:bCs/>
          <w:caps/>
          <w:color w:val="336666"/>
          <w:sz w:val="36"/>
          <w:szCs w:val="36"/>
          <w:lang w:val="es-CL"/>
        </w:rPr>
        <w:br/>
      </w:r>
      <w:r w:rsidRPr="00C00801">
        <w:rPr>
          <w:rFonts w:ascii="Bell MT" w:hAnsi="Bell MT" w:cs="Times New Roman"/>
          <w:b/>
          <w:sz w:val="32"/>
          <w:szCs w:val="32"/>
          <w:shd w:val="clear" w:color="auto" w:fill="EAEBD7"/>
          <w:lang w:val="es-CL"/>
        </w:rPr>
        <w:t>Super Sent., lib. 1 d. 2 q. 1 a. 3</w:t>
      </w:r>
    </w:p>
    <w:p w14:paraId="6A1F7550" w14:textId="77777777" w:rsidR="002C704A" w:rsidRPr="00C00801" w:rsidRDefault="002C704A" w:rsidP="002C704A">
      <w:pPr>
        <w:shd w:val="clear" w:color="auto" w:fill="EAEBD7"/>
        <w:spacing w:line="324" w:lineRule="atLeast"/>
        <w:jc w:val="center"/>
        <w:rPr>
          <w:rFonts w:ascii="Bell MT" w:eastAsia="Times New Roman" w:hAnsi="Bell MT" w:cs="Times New Roman"/>
          <w:b/>
          <w:bCs/>
          <w:caps/>
          <w:color w:val="336666"/>
          <w:sz w:val="36"/>
          <w:szCs w:val="36"/>
          <w:lang w:val="es-CL"/>
        </w:rPr>
      </w:pPr>
    </w:p>
    <w:p w14:paraId="53E45F05" w14:textId="77777777" w:rsidR="002C704A" w:rsidRPr="002C704A" w:rsidRDefault="002C704A" w:rsidP="002C704A">
      <w:pPr>
        <w:shd w:val="clear" w:color="auto" w:fill="EAEBD7"/>
        <w:spacing w:line="324" w:lineRule="atLeast"/>
        <w:jc w:val="center"/>
        <w:rPr>
          <w:rFonts w:ascii="Bell MT" w:eastAsia="Times New Roman" w:hAnsi="Bell MT" w:cs="Times New Roman"/>
          <w:b/>
          <w:bCs/>
          <w:caps/>
          <w:color w:val="336666"/>
          <w:sz w:val="28"/>
          <w:szCs w:val="28"/>
          <w:lang w:val="es-CL"/>
        </w:rPr>
      </w:pPr>
      <w:r w:rsidRPr="002C704A">
        <w:rPr>
          <w:rFonts w:ascii="Bell MT" w:eastAsia="Times New Roman" w:hAnsi="Bell MT" w:cs="Times New Roman"/>
          <w:b/>
          <w:bCs/>
          <w:caps/>
          <w:color w:val="336666"/>
          <w:sz w:val="28"/>
          <w:szCs w:val="28"/>
          <w:lang w:val="es-CL"/>
        </w:rPr>
        <w:t>DISTINCTIO 2</w:t>
      </w:r>
    </w:p>
    <w:p w14:paraId="7B1E1E4D" w14:textId="77777777" w:rsidR="002C704A" w:rsidRPr="002C704A" w:rsidRDefault="002C704A" w:rsidP="002C704A">
      <w:pPr>
        <w:shd w:val="clear" w:color="auto" w:fill="EAEBD7"/>
        <w:spacing w:line="324" w:lineRule="atLeast"/>
        <w:jc w:val="center"/>
        <w:rPr>
          <w:rFonts w:ascii="Bell MT" w:eastAsia="Times New Roman" w:hAnsi="Bell MT" w:cs="Times New Roman"/>
          <w:b/>
          <w:bCs/>
          <w:caps/>
          <w:color w:val="336666"/>
          <w:sz w:val="28"/>
          <w:szCs w:val="28"/>
          <w:lang w:val="es-CL"/>
        </w:rPr>
      </w:pPr>
      <w:r w:rsidRPr="002C704A">
        <w:rPr>
          <w:rFonts w:ascii="Bell MT" w:eastAsia="Times New Roman" w:hAnsi="Bell MT" w:cs="Times New Roman"/>
          <w:b/>
          <w:bCs/>
          <w:caps/>
          <w:color w:val="336666"/>
          <w:sz w:val="28"/>
          <w:szCs w:val="28"/>
          <w:lang w:val="es-CL"/>
        </w:rPr>
        <w:t>QUAESTIO 1</w:t>
      </w:r>
    </w:p>
    <w:p w14:paraId="4D7D67DC" w14:textId="77777777" w:rsidR="002C704A" w:rsidRPr="002C704A" w:rsidRDefault="002C704A" w:rsidP="002C704A">
      <w:pPr>
        <w:shd w:val="clear" w:color="auto" w:fill="EAEBD7"/>
        <w:spacing w:line="288" w:lineRule="atLeast"/>
        <w:jc w:val="center"/>
        <w:rPr>
          <w:rFonts w:ascii="Bell MT" w:eastAsia="Times New Roman" w:hAnsi="Bell MT" w:cs="Times New Roman"/>
          <w:b/>
          <w:bCs/>
          <w:caps/>
          <w:color w:val="336666"/>
          <w:lang w:val="es-CL"/>
        </w:rPr>
      </w:pPr>
      <w:r w:rsidRPr="002C704A">
        <w:rPr>
          <w:rFonts w:ascii="Bell MT" w:eastAsia="Times New Roman" w:hAnsi="Bell MT" w:cs="Times New Roman"/>
          <w:b/>
          <w:bCs/>
          <w:caps/>
          <w:color w:val="336666"/>
          <w:lang w:val="es-CL"/>
        </w:rPr>
        <w:t>ARTICULUS 3</w:t>
      </w:r>
    </w:p>
    <w:p w14:paraId="5F062E60" w14:textId="77777777" w:rsidR="002C704A" w:rsidRPr="002C704A" w:rsidRDefault="002C704A" w:rsidP="002C704A">
      <w:pPr>
        <w:rPr>
          <w:rFonts w:ascii="Bell MT" w:eastAsia="Times New Roman" w:hAnsi="Bell MT" w:cs="Times New Roman"/>
          <w:sz w:val="20"/>
          <w:szCs w:val="20"/>
          <w:lang w:val="es-CL"/>
        </w:rPr>
      </w:pPr>
    </w:p>
    <w:p w14:paraId="0B2DEF59" w14:textId="77777777" w:rsidR="002C704A" w:rsidRPr="002C704A" w:rsidRDefault="002C704A" w:rsidP="002C704A">
      <w:pPr>
        <w:shd w:val="clear" w:color="auto" w:fill="EAEBD7"/>
        <w:spacing w:line="288" w:lineRule="atLeast"/>
        <w:jc w:val="center"/>
        <w:rPr>
          <w:rFonts w:ascii="Bell MT" w:eastAsia="Times New Roman" w:hAnsi="Bell MT" w:cs="Arial"/>
          <w:color w:val="800000"/>
          <w:sz w:val="27"/>
          <w:szCs w:val="27"/>
          <w:lang w:val="es-CL"/>
        </w:rPr>
      </w:pPr>
      <w:bookmarkStart w:id="0" w:name="176"/>
      <w:bookmarkEnd w:id="0"/>
      <w:r w:rsidRPr="002C704A">
        <w:rPr>
          <w:rFonts w:ascii="Bell MT" w:eastAsia="Times New Roman" w:hAnsi="Bell MT" w:cs="Arial"/>
          <w:color w:val="800000"/>
          <w:sz w:val="27"/>
          <w:szCs w:val="27"/>
          <w:lang w:val="es-CL"/>
        </w:rPr>
        <w:t>Utrum pluralitas rationum, quibus attributa differunt, sit tantum in intellectu, vel etiam in Deo</w:t>
      </w:r>
    </w:p>
    <w:p w14:paraId="7C43CDF8" w14:textId="77777777" w:rsidR="002C704A" w:rsidRPr="002C704A" w:rsidRDefault="002C704A" w:rsidP="002C704A">
      <w:pPr>
        <w:rPr>
          <w:rFonts w:ascii="Bell MT" w:eastAsia="Times New Roman" w:hAnsi="Bell MT" w:cs="Times New Roman"/>
          <w:sz w:val="20"/>
          <w:szCs w:val="20"/>
          <w:lang w:val="es-CL"/>
        </w:rPr>
      </w:pPr>
      <w:r w:rsidRPr="002C704A">
        <w:rPr>
          <w:rFonts w:ascii="Bell MT" w:eastAsia="Times New Roman" w:hAnsi="Bell MT" w:cs="Times New Roman"/>
          <w:color w:val="002200"/>
          <w:sz w:val="27"/>
          <w:szCs w:val="27"/>
          <w:lang w:val="es-CL"/>
        </w:rPr>
        <w:br/>
      </w:r>
    </w:p>
    <w:p w14:paraId="50419C7A"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 w:name="177"/>
      <w:r w:rsidRPr="00C00801">
        <w:rPr>
          <w:rFonts w:ascii="Bell MT" w:hAnsi="Bell MT" w:cs="Times New Roman"/>
          <w:color w:val="99CCCC"/>
          <w:shd w:val="clear" w:color="auto" w:fill="EAEBD7"/>
          <w:lang w:val="es-CL"/>
        </w:rPr>
        <w:t>[177] Super Sent., lib. 1 d. 2 q. 1 a. 3 arg. 1</w:t>
      </w:r>
      <w:bookmarkEnd w:id="1"/>
      <w:r w:rsidRPr="00C00801">
        <w:rPr>
          <w:rFonts w:ascii="Bell MT" w:hAnsi="Bell MT" w:cs="Times New Roman"/>
          <w:color w:val="99CCCC"/>
          <w:shd w:val="clear" w:color="auto" w:fill="EAEBD7"/>
          <w:lang w:val="es-CL"/>
        </w:rPr>
        <w:t xml:space="preserve"> </w:t>
      </w:r>
      <w:r w:rsidRPr="002C704A">
        <w:rPr>
          <w:rFonts w:ascii="Bell MT" w:hAnsi="Bell MT" w:cs="Times New Roman"/>
          <w:color w:val="002200"/>
          <w:sz w:val="27"/>
          <w:szCs w:val="27"/>
          <w:lang w:val="es-CL"/>
        </w:rPr>
        <w:t>Circa tertium sic proceditur. Videtur quod pluralitas rationum secundum quas attributa differunt, nullo modo sit in Deo, sed tantum in intellectu ratiocinantis. Dicit enim Dionysius:</w:t>
      </w:r>
      <w:r w:rsidRPr="00C00801">
        <w:rPr>
          <w:rFonts w:ascii="Bell MT" w:hAnsi="Bell MT" w:cs="Times New Roman"/>
          <w:color w:val="002200"/>
          <w:sz w:val="27"/>
          <w:szCs w:val="27"/>
          <w:lang w:val="es-CL"/>
        </w:rPr>
        <w:t> </w:t>
      </w:r>
      <w:r w:rsidRPr="002C704A">
        <w:rPr>
          <w:rFonts w:ascii="Bell MT" w:hAnsi="Bell MT" w:cs="Times New Roman"/>
          <w:i/>
          <w:iCs/>
          <w:color w:val="002200"/>
          <w:sz w:val="27"/>
          <w:szCs w:val="27"/>
          <w:lang w:val="es-CL"/>
        </w:rPr>
        <w:t>omnem sanctorum theologorum hymnum invenies ad bonos thearchiae processus, manifestative, et laudative Dei nominationes dividentem</w:t>
      </w:r>
      <w:r w:rsidRPr="002C704A">
        <w:rPr>
          <w:rFonts w:ascii="Bell MT" w:hAnsi="Bell MT" w:cs="Times New Roman"/>
          <w:color w:val="002200"/>
          <w:sz w:val="27"/>
          <w:szCs w:val="27"/>
          <w:lang w:val="es-CL"/>
        </w:rPr>
        <w:t>. Et est sensus, quod nomina quae in laudem divinam sancti assumunt, secundum diversos divinitatis processus, quibus ipse Deus manifestatur, dividuntur. Ergo ista pluralitas non est ex parte Dei, sed ex parte diversorum effectuum, ex quibus intellectus noster Deum diversimode cognoscit et nominat.</w:t>
      </w:r>
    </w:p>
    <w:p w14:paraId="001CD80E"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2" w:name="178"/>
      <w:r w:rsidRPr="00C00801">
        <w:rPr>
          <w:rFonts w:ascii="Bell MT" w:hAnsi="Bell MT" w:cs="Times New Roman"/>
          <w:color w:val="99CCCC"/>
          <w:shd w:val="clear" w:color="auto" w:fill="EAEBD7"/>
          <w:lang w:val="es-CL"/>
        </w:rPr>
        <w:t>[178] Super Sent., lib. 1 d. 2 q. 1 a. 3 arg. 2</w:t>
      </w:r>
      <w:bookmarkEnd w:id="2"/>
      <w:r w:rsidRPr="002C704A">
        <w:rPr>
          <w:rFonts w:ascii="Bell MT" w:hAnsi="Bell MT" w:cs="Times New Roman"/>
          <w:color w:val="002200"/>
          <w:sz w:val="27"/>
          <w:szCs w:val="27"/>
          <w:lang w:val="es-CL"/>
        </w:rPr>
        <w:t>Praeterea, Dionysius dicit:</w:t>
      </w:r>
      <w:r w:rsidRPr="00C00801">
        <w:rPr>
          <w:rFonts w:ascii="Bell MT" w:hAnsi="Bell MT" w:cs="Times New Roman"/>
          <w:color w:val="002200"/>
          <w:sz w:val="27"/>
          <w:szCs w:val="27"/>
          <w:lang w:val="es-CL"/>
        </w:rPr>
        <w:t> </w:t>
      </w:r>
      <w:r w:rsidRPr="002C704A">
        <w:rPr>
          <w:rFonts w:ascii="Bell MT" w:hAnsi="Bell MT" w:cs="Times New Roman"/>
          <w:i/>
          <w:iCs/>
          <w:color w:val="002200"/>
          <w:sz w:val="27"/>
          <w:szCs w:val="27"/>
          <w:lang w:val="es-CL"/>
        </w:rPr>
        <w:t>si aliquis videns Deum, intellexerit quod vidit, non ipsum vidit sed aliquid eorum quae sunt ejus</w:t>
      </w:r>
      <w:r w:rsidRPr="002C704A">
        <w:rPr>
          <w:rFonts w:ascii="Bell MT" w:hAnsi="Bell MT" w:cs="Times New Roman"/>
          <w:color w:val="002200"/>
          <w:sz w:val="27"/>
          <w:szCs w:val="27"/>
          <w:lang w:val="es-CL"/>
        </w:rPr>
        <w:t>. Si ergo praedicta nomina differunt secundum diversas rationes quas de eis intelleximus, istis rationibus nihil respondet quod in Deo sit, sed in his quae Dei sunt, scilicet creaturis.</w:t>
      </w:r>
    </w:p>
    <w:p w14:paraId="6D993B7E"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3" w:name="179"/>
      <w:r w:rsidRPr="00C00801">
        <w:rPr>
          <w:rFonts w:ascii="Bell MT" w:hAnsi="Bell MT" w:cs="Times New Roman"/>
          <w:color w:val="99CCCC"/>
          <w:shd w:val="clear" w:color="auto" w:fill="EAEBD7"/>
          <w:lang w:val="es-CL"/>
        </w:rPr>
        <w:t>[179] Super Sent., lib. 1 d. 2 q. 1 a. 3 arg. 3</w:t>
      </w:r>
      <w:bookmarkEnd w:id="3"/>
      <w:r w:rsidRPr="002C704A">
        <w:rPr>
          <w:rFonts w:ascii="Bell MT" w:hAnsi="Bell MT" w:cs="Times New Roman"/>
          <w:color w:val="002200"/>
          <w:sz w:val="27"/>
          <w:szCs w:val="27"/>
          <w:lang w:val="es-CL"/>
        </w:rPr>
        <w:t>Praeterea, Commentator dicit, loquens de hujusmodi nominibus, quod multiplicitas, quam ista nomina praetendunt, est in Deo secundum intellectum, et nullo modo secundum rem. Ergo videtur quod pluralitas harum rationum sit secundum intellectum nostrum tantum.</w:t>
      </w:r>
    </w:p>
    <w:p w14:paraId="2A8C49A3"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4" w:name="180"/>
      <w:r w:rsidRPr="00C00801">
        <w:rPr>
          <w:rFonts w:ascii="Bell MT" w:hAnsi="Bell MT" w:cs="Times New Roman"/>
          <w:color w:val="99CCCC"/>
          <w:shd w:val="clear" w:color="auto" w:fill="EAEBD7"/>
          <w:lang w:val="es-CL"/>
        </w:rPr>
        <w:t>[180] Super Sent., lib. 1 d. 2 q. 1 a. 3 arg. 4</w:t>
      </w:r>
      <w:bookmarkEnd w:id="4"/>
      <w:r w:rsidRPr="002C704A">
        <w:rPr>
          <w:rFonts w:ascii="Bell MT" w:hAnsi="Bell MT" w:cs="Times New Roman"/>
          <w:color w:val="002200"/>
          <w:sz w:val="27"/>
          <w:szCs w:val="27"/>
          <w:lang w:val="es-CL"/>
        </w:rPr>
        <w:t>Praeterea, quidquid est in Deo, Deus est. Si ergo istae rationes secundum quas attributa differunt, sunt in Deo, ipsae sunt Deus. Sed Deus est unus et simplex. Ergo istae rationes, secundum quod in Deo sunt, non sunt plures.</w:t>
      </w:r>
    </w:p>
    <w:p w14:paraId="62F1B3A0"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5" w:name="181"/>
      <w:r w:rsidRPr="00C00801">
        <w:rPr>
          <w:rFonts w:ascii="Bell MT" w:hAnsi="Bell MT" w:cs="Times New Roman"/>
          <w:color w:val="99CCCC"/>
          <w:shd w:val="clear" w:color="auto" w:fill="EAEBD7"/>
          <w:lang w:val="es-CL"/>
        </w:rPr>
        <w:t>[181] Super Sent., lib. 1 d. 2 q. 1 a. 3 arg. 5</w:t>
      </w:r>
      <w:bookmarkEnd w:id="5"/>
      <w:r w:rsidRPr="002C704A">
        <w:rPr>
          <w:rFonts w:ascii="Bell MT" w:hAnsi="Bell MT" w:cs="Times New Roman"/>
          <w:color w:val="002200"/>
          <w:sz w:val="27"/>
          <w:szCs w:val="27"/>
          <w:lang w:val="es-CL"/>
        </w:rPr>
        <w:t xml:space="preserve">Praeterea, illud quod in se est unum omnibus modis, non est radix alicujus multitudinis in eo existentis. Sed essentia divina est una omnibus modis, quia est summe una. Ergo non potest </w:t>
      </w:r>
      <w:r w:rsidRPr="002C704A">
        <w:rPr>
          <w:rFonts w:ascii="Bell MT" w:hAnsi="Bell MT" w:cs="Times New Roman"/>
          <w:color w:val="002200"/>
          <w:sz w:val="27"/>
          <w:szCs w:val="27"/>
          <w:lang w:val="es-CL"/>
        </w:rPr>
        <w:lastRenderedPageBreak/>
        <w:t>esse radix alicujus multitudinis in ea existentis. Pluralitas ergo dictarum rationum non radicatur in essentia divina sed in intellectu tantum.</w:t>
      </w:r>
    </w:p>
    <w:p w14:paraId="6D84F0EA"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6" w:name="182"/>
      <w:r w:rsidRPr="00C00801">
        <w:rPr>
          <w:rFonts w:ascii="Bell MT" w:hAnsi="Bell MT" w:cs="Times New Roman"/>
          <w:color w:val="99CCCC"/>
          <w:shd w:val="clear" w:color="auto" w:fill="EAEBD7"/>
          <w:lang w:val="es-CL"/>
        </w:rPr>
        <w:t>[182] Super Sent., lib. 1 d. 2 q. 1 a. 3 arg. 6</w:t>
      </w:r>
      <w:bookmarkEnd w:id="6"/>
      <w:r w:rsidR="00C00801">
        <w:rPr>
          <w:rFonts w:ascii="Bell MT" w:hAnsi="Bell MT" w:cs="Times New Roman"/>
          <w:color w:val="99CCCC"/>
          <w:shd w:val="clear" w:color="auto" w:fill="EAEBD7"/>
          <w:lang w:val="es-CL"/>
        </w:rPr>
        <w:t xml:space="preserve"> </w:t>
      </w:r>
      <w:r w:rsidRPr="002C704A">
        <w:rPr>
          <w:rFonts w:ascii="Bell MT" w:hAnsi="Bell MT" w:cs="Times New Roman"/>
          <w:color w:val="002200"/>
          <w:sz w:val="27"/>
          <w:szCs w:val="27"/>
          <w:lang w:val="es-CL"/>
        </w:rPr>
        <w:t>Praeterea, Damascenus dicit, quod in Deo omnia sunt unum praeter ingenerationem et generationem et processionem. Si ergo sapientia et bonitas et hujusmodi attributa sunt in Deo, secundum quod in ipso sunt, non habent aliquam pluralitatem. Ergo pluralitas rationum quam nomina significant, non est in Deo, sed in intellectu nostro tantum.</w:t>
      </w:r>
    </w:p>
    <w:p w14:paraId="201B4183"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7" w:name="183"/>
      <w:r w:rsidRPr="00C00801">
        <w:rPr>
          <w:rFonts w:ascii="Bell MT" w:hAnsi="Bell MT" w:cs="Times New Roman"/>
          <w:color w:val="99CCCC"/>
          <w:shd w:val="clear" w:color="auto" w:fill="EAEBD7"/>
          <w:lang w:val="es-CL"/>
        </w:rPr>
        <w:t>[183] Super Sent., lib. 1 d. 2 q. 1 a. 3 s. c. 1</w:t>
      </w:r>
      <w:bookmarkEnd w:id="7"/>
      <w:r w:rsidRPr="002C704A">
        <w:rPr>
          <w:rFonts w:ascii="Bell MT" w:hAnsi="Bell MT" w:cs="Times New Roman"/>
          <w:color w:val="002200"/>
          <w:sz w:val="27"/>
          <w:szCs w:val="27"/>
          <w:lang w:val="es-CL"/>
        </w:rPr>
        <w:t>Sed contra, Dionysius dicit, quod Deus dicitur perfectus sicut omnia in seipso comprehendens; et hoc est etiam quod philosophus et Commentator dicit, quod Deus dicitur perfectus, quia omnes perfectiones quae sunt in omnibus generibus rerum in ipso sunt. Haec autem perfectio, qua Deus perfectus est, est secundum rem, et non secundum intellectum tantum. Ergo ista attributa quae perfectionem demonstrant, non sunt tantum in intellectu, sed in re, quae Deus est.</w:t>
      </w:r>
    </w:p>
    <w:p w14:paraId="50AD05D9"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8" w:name="184"/>
      <w:r w:rsidRPr="00C00801">
        <w:rPr>
          <w:rFonts w:ascii="Bell MT" w:hAnsi="Bell MT" w:cs="Times New Roman"/>
          <w:color w:val="99CCCC"/>
          <w:shd w:val="clear" w:color="auto" w:fill="EAEBD7"/>
          <w:lang w:val="es-CL"/>
        </w:rPr>
        <w:t>[184] Super Sent., lib. 1 d. 2 q. 1 a. 3 s. c. 2</w:t>
      </w:r>
      <w:bookmarkEnd w:id="8"/>
      <w:r w:rsidRPr="002C704A">
        <w:rPr>
          <w:rFonts w:ascii="Bell MT" w:hAnsi="Bell MT" w:cs="Times New Roman"/>
          <w:color w:val="002200"/>
          <w:sz w:val="27"/>
          <w:szCs w:val="27"/>
          <w:lang w:val="es-CL"/>
        </w:rPr>
        <w:t>Praeterea, Dionysius dicit, quod creaturae dicuntur Deo similes, inquantum imitantur Deum, qui perfecte imitabilis non est a creatura. Ista autem imitatio est secundum participationem attributorum. Ergo creaturae sunt Deo similes, secundum sapientiam, bonitatem et hujusmodi. Sed hoc non posset esse, nisi praedicta essent in Deo secundum proprias rationes. Ergo ratio sapientiae et bonitatis proprie in Deo est; et ita hujusmodi rationes non sunt tantum ex parte intellectus.</w:t>
      </w:r>
    </w:p>
    <w:p w14:paraId="18C625B5"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9" w:name="185"/>
      <w:r w:rsidRPr="00C00801">
        <w:rPr>
          <w:rFonts w:ascii="Bell MT" w:hAnsi="Bell MT" w:cs="Times New Roman"/>
          <w:color w:val="99CCCC"/>
          <w:shd w:val="clear" w:color="auto" w:fill="EAEBD7"/>
          <w:lang w:val="es-CL"/>
        </w:rPr>
        <w:t>[185] Super Sent., lib. 1 d. 2 q. 1 a. 3 s. c. 3</w:t>
      </w:r>
      <w:bookmarkEnd w:id="9"/>
      <w:r w:rsidRPr="002C704A">
        <w:rPr>
          <w:rFonts w:ascii="Bell MT" w:hAnsi="Bell MT" w:cs="Times New Roman"/>
          <w:color w:val="002200"/>
          <w:sz w:val="27"/>
          <w:szCs w:val="27"/>
          <w:lang w:val="es-CL"/>
        </w:rPr>
        <w:t>Praeterea, sapientia non dicitur aequivoce de Deo et creatura; alias sapientia creata non duceret in cognitionem sapientiae increatae; et similiter est de potentia et bonitate et de aliis hujusmodi. Sed ea quae praedicantur de pluribus secundum rationes omnino diversas, aequivoce praedicantur. Ergo aliquo modo ratio sapientiae, secundum quod de Deo dicitur et de creaturis, est una, non quidem per univocationem, sed per analogiam: et similiter est de aliis. Sed ratio sapientiae, secundum quod de creaturis dicitur non est eadem ratio cum ratione bonitatis et potentiae. Ergo etiam secundum quod ista de Deo dicuntur, non sunt eaedem rationes sed diversae.</w:t>
      </w:r>
    </w:p>
    <w:p w14:paraId="04A15C5C"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0" w:name="186"/>
      <w:r w:rsidRPr="00C00801">
        <w:rPr>
          <w:rFonts w:ascii="Bell MT" w:hAnsi="Bell MT" w:cs="Times New Roman"/>
          <w:color w:val="99CCCC"/>
          <w:shd w:val="clear" w:color="auto" w:fill="EAEBD7"/>
          <w:lang w:val="es-CL"/>
        </w:rPr>
        <w:t>[186] Super Sent., lib. 1 d. 2 q. 1 a. 3 s. c. 4</w:t>
      </w:r>
      <w:bookmarkEnd w:id="10"/>
      <w:r w:rsidRPr="002C704A">
        <w:rPr>
          <w:rFonts w:ascii="Bell MT" w:hAnsi="Bell MT" w:cs="Times New Roman"/>
          <w:color w:val="002200"/>
          <w:sz w:val="27"/>
          <w:szCs w:val="27"/>
          <w:lang w:val="es-CL"/>
        </w:rPr>
        <w:t>Praeterea, sicut Deus vere est pater, ita etiam vere est sapiens. Sed ex hoc quod vere Deus est pater, non potest dici quod ratio paternitatis sit in intellectu tantum. Ergo nec ex hoc quod Deus vere est sapiens, potest dici quod ratio sapientiae sit in intellectu tantum. Sed ratio paternitatis, quae realiter in Deo est, non est eadem cum ratione divinitatis. Unde nec paternitate est Deus, nec divinitate est pater: et tamen ista pluralitas rationum non tollit simplicitatem divinam, propter hoc quod essentia et paternitas idem sunt in re. Ergo similiter si ponamus sapientiam et essentiam esse idem re omnino, et rationes eorum diversas, non tolletur simplicitas divinae essentiae. Sed divinae essentiae simplicitas est tota causa quare ista attributa in Deo non differunt. Ergo non est inconveniens ponere, quod sapientiae et bonitatis ratio in Deo est, et tamen una non est altera, si res omnino una ponatur.</w:t>
      </w:r>
    </w:p>
    <w:p w14:paraId="3D60F377"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1" w:name="187"/>
      <w:r w:rsidRPr="00C00801">
        <w:rPr>
          <w:rFonts w:ascii="Bell MT" w:hAnsi="Bell MT" w:cs="Times New Roman"/>
          <w:color w:val="99CCCC"/>
          <w:shd w:val="clear" w:color="auto" w:fill="EAEBD7"/>
          <w:lang w:val="es-CL"/>
        </w:rPr>
        <w:t>[187] Super Sent., lib. 1 d. 2 q. 1 a. 3 s. c. 5</w:t>
      </w:r>
      <w:bookmarkEnd w:id="11"/>
      <w:r w:rsidRPr="002C704A">
        <w:rPr>
          <w:rFonts w:ascii="Bell MT" w:hAnsi="Bell MT" w:cs="Times New Roman"/>
          <w:color w:val="002200"/>
          <w:sz w:val="27"/>
          <w:szCs w:val="27"/>
          <w:lang w:val="es-CL"/>
        </w:rPr>
        <w:t>Si dicatur quod non est simile de relationibus personalibus et de attributis essentialibus, quia in Deo non sunt nisi duo praedicamenta, scilicet substantia et relatio, unde ratio relationis est alia a ratione substantiae, non tamen ratio sapientiae et aliorum absolutorum est alia a substantia: contra. Relatio in divinis habet duplicem comparationem: unam ad suum correlativum, secundum quam ad aliquid dicitur; aliam ad essentiam, secundum quam est idem re cum ea. Sed secundum id quod aliquid est idem alteri, non facit numerum cum eo. Ergo quod relationes ad aliud praedicamentum pertineant quam ad praedicamentum substantiae, est per comparationem ad suum relativum. Ergo adhuc manet eadem comparatio sapientiae et paternitatis ad essentiam.</w:t>
      </w:r>
    </w:p>
    <w:p w14:paraId="4B68DEFE"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2" w:name="188"/>
      <w:r w:rsidRPr="00C00801">
        <w:rPr>
          <w:rFonts w:ascii="Bell MT" w:hAnsi="Bell MT" w:cs="Times New Roman"/>
          <w:color w:val="99CCCC"/>
          <w:shd w:val="clear" w:color="auto" w:fill="EAEBD7"/>
          <w:lang w:val="es-CL"/>
        </w:rPr>
        <w:t>[188] Super Sent., lib. 1 d. 2 q. 1 a. 3 co.</w:t>
      </w:r>
      <w:bookmarkEnd w:id="12"/>
      <w:r w:rsidRPr="002C704A">
        <w:rPr>
          <w:rFonts w:ascii="Bell MT" w:hAnsi="Bell MT" w:cs="Times New Roman"/>
          <w:color w:val="002200"/>
          <w:sz w:val="27"/>
          <w:szCs w:val="27"/>
          <w:lang w:val="es-CL"/>
        </w:rPr>
        <w:t>Respondeo dicendum, quod, sicut supra dictum est, art. praeced., in corp., sapientia et bonitas et omnia hujusmodi sunt omnino unum re in Deo, sed differunt ratione: et haec ratio non est tantum ex parte ipsius ratiocinantis, sed ex proprietate ipsius rei. Ad cujus rei evidentiam, ut diligenter explicetur, quia ex hoc pendet totus intellectus eorum quae in 1 libro dicuntur, quatuor oportet videre. Primo quid sit ratio secundum quam dicimus attributa ratione differre. Secundo quomodo dicatur aliqua ratio in aliqua re esse vel non esse. Tertio utrum istae rationes diversae attributorum sint in Deo vel non. Quarto utrum pluralitas istarum rationum sit tantum ex parte intellectus nostri vel aliquo modo ex parte rei. Quantum ad primum pertinet, sciendum est, quod ratio, prout hic sumitur, nihil aliud est quam id quod apprehendit intellectus de significatione alicujus nominis: et hoc in his quae habent definitionem, est ipsa rei definitio, secundum quod philosophus dicit:</w:t>
      </w:r>
      <w:r w:rsidRPr="00C00801">
        <w:rPr>
          <w:rFonts w:ascii="Bell MT" w:hAnsi="Bell MT" w:cs="Times New Roman"/>
          <w:color w:val="002200"/>
          <w:sz w:val="27"/>
          <w:szCs w:val="27"/>
          <w:lang w:val="es-CL"/>
        </w:rPr>
        <w:t> </w:t>
      </w:r>
      <w:r w:rsidRPr="002C704A">
        <w:rPr>
          <w:rFonts w:ascii="Bell MT" w:hAnsi="Bell MT" w:cs="Times New Roman"/>
          <w:i/>
          <w:iCs/>
          <w:color w:val="002200"/>
          <w:sz w:val="27"/>
          <w:szCs w:val="27"/>
          <w:lang w:val="es-CL"/>
        </w:rPr>
        <w:t>ratio quam significat nomen est definitio</w:t>
      </w:r>
      <w:r w:rsidRPr="002C704A">
        <w:rPr>
          <w:rFonts w:ascii="Bell MT" w:hAnsi="Bell MT" w:cs="Times New Roman"/>
          <w:color w:val="002200"/>
          <w:sz w:val="27"/>
          <w:szCs w:val="27"/>
          <w:lang w:val="es-CL"/>
        </w:rPr>
        <w:t xml:space="preserve">. Sed quaedam dicuntur habere rationem sic dictam, quae non definiuntur, sicut quantitas et qualitas et hujusmodi, quae non definiuntur, quia sunt genera generalissima. Et tamen ratio qualitatis est id quod significatur nomine qualitatis; et hoc est illud ex quo qualitas habet quod sit qualitas. Unde non refert, utrum illa quae dicuntur habere rationem, habeant vel non habeant definitionem. Et sic patet quod ratio sapientiae quae de Deo dicitur, est id quod concipitur de significatione hujus nominis, quamvis ipsa sapientia divina definiri non possit. Nec tamen hoc nomen ratio significat ipsam conceptionem, quia hoc significatur per nomen sapientiae vel per aliud nomen rei; sed significat intentionem hujus conceptionis, sicut et hoc nomen definitio, et alia nomina secundae impositionis. Et ex hoc patet secundum, scilicet </w:t>
      </w:r>
      <w:r w:rsidRPr="002C704A">
        <w:rPr>
          <w:rFonts w:ascii="Bell MT" w:hAnsi="Bell MT" w:cs="Times New Roman"/>
          <w:b/>
          <w:color w:val="002200"/>
          <w:sz w:val="27"/>
          <w:szCs w:val="27"/>
          <w:highlight w:val="yellow"/>
          <w:lang w:val="es-CL"/>
        </w:rPr>
        <w:t>qualiter ratio dicatur esse in re. Non enim hoc dicitur, quasi ipsa intentio quam significat nomen rationis, sit in re; aut etiam ipsa conceptio, cui convenit talis intentio, sit in re extra animam, cum sit in anima sicut in subjecto:</w:t>
      </w:r>
      <w:r w:rsidRPr="002C704A">
        <w:rPr>
          <w:rFonts w:ascii="Bell MT" w:hAnsi="Bell MT" w:cs="Times New Roman"/>
          <w:b/>
          <w:color w:val="002200"/>
          <w:sz w:val="27"/>
          <w:szCs w:val="27"/>
          <w:lang w:val="es-CL"/>
        </w:rPr>
        <w:t xml:space="preserve"> </w:t>
      </w:r>
      <w:r w:rsidRPr="002C704A">
        <w:rPr>
          <w:rFonts w:ascii="Bell MT" w:hAnsi="Bell MT" w:cs="Times New Roman"/>
          <w:b/>
          <w:color w:val="002200"/>
          <w:sz w:val="27"/>
          <w:szCs w:val="27"/>
          <w:highlight w:val="yellow"/>
          <w:lang w:val="es-CL"/>
        </w:rPr>
        <w:t>sed dicitur esse in re, inquantum in re extra animam est aliquid quod respondet conceptioni animae, sicut significatum signo</w:t>
      </w:r>
      <w:r w:rsidRPr="002C704A">
        <w:rPr>
          <w:rFonts w:ascii="Bell MT" w:hAnsi="Bell MT" w:cs="Times New Roman"/>
          <w:color w:val="002200"/>
          <w:sz w:val="27"/>
          <w:szCs w:val="27"/>
          <w:lang w:val="es-CL"/>
        </w:rPr>
        <w:t xml:space="preserve">. </w:t>
      </w:r>
      <w:r w:rsidRPr="00033880">
        <w:rPr>
          <w:rFonts w:ascii="Bell MT" w:hAnsi="Bell MT" w:cs="Times New Roman"/>
          <w:color w:val="002200"/>
          <w:sz w:val="27"/>
          <w:szCs w:val="27"/>
          <w:highlight w:val="yellow"/>
          <w:lang w:val="es-CL"/>
        </w:rPr>
        <w:t xml:space="preserve">Unde sciendum, quod </w:t>
      </w:r>
      <w:r w:rsidRPr="00033880">
        <w:rPr>
          <w:rFonts w:ascii="Bell MT" w:hAnsi="Bell MT" w:cs="Times New Roman"/>
          <w:b/>
          <w:color w:val="002200"/>
          <w:sz w:val="27"/>
          <w:szCs w:val="27"/>
          <w:highlight w:val="yellow"/>
          <w:lang w:val="es-CL"/>
        </w:rPr>
        <w:t>ipsa conceptio intellectus tripliciter se habet ad rem quae est extra animam.</w:t>
      </w:r>
      <w:r w:rsidRPr="00033880">
        <w:rPr>
          <w:rFonts w:ascii="Bell MT" w:hAnsi="Bell MT" w:cs="Times New Roman"/>
          <w:color w:val="002200"/>
          <w:sz w:val="27"/>
          <w:szCs w:val="27"/>
          <w:highlight w:val="yellow"/>
          <w:lang w:val="es-CL"/>
        </w:rPr>
        <w:t xml:space="preserve"> Aliquando enim hoc quod intellectus concipit, est </w:t>
      </w:r>
      <w:r w:rsidRPr="00033880">
        <w:rPr>
          <w:rFonts w:ascii="Bell MT" w:hAnsi="Bell MT" w:cs="Times New Roman"/>
          <w:b/>
          <w:color w:val="002200"/>
          <w:sz w:val="27"/>
          <w:szCs w:val="27"/>
          <w:highlight w:val="yellow"/>
          <w:lang w:val="es-CL"/>
        </w:rPr>
        <w:t>similitudo rei existentis extra animam, sicut hoc quod concipitur de hoc nomine homo</w:t>
      </w:r>
      <w:r w:rsidRPr="00033880">
        <w:rPr>
          <w:rFonts w:ascii="Bell MT" w:hAnsi="Bell MT" w:cs="Times New Roman"/>
          <w:color w:val="002200"/>
          <w:sz w:val="27"/>
          <w:szCs w:val="27"/>
          <w:highlight w:val="yellow"/>
          <w:lang w:val="es-CL"/>
        </w:rPr>
        <w:t>; et talis conceptio intellectus habet fundamentum in re immediate, inquantum res ipsa, ex sua conformitate ad intellectum, facit quod intellectus sit verus, et quod nomen significans illum intellectum, proprie de re dicatur. Aliquando autem hoc quod significat nomen non est similitudo rei existentis extra animam, sed est aliquid quod consequitur ex modo intelligendi rem quae est extra animam: et hujusmodi sunt intentiones quas intellectus noster adinvenit; sicut significatum hujus nominis genus non est similitudo alicujus rei extra animam existentis; sed ex hoc quod intellectus intelligit animal ut in pluribus speciebus, attribuit ei intentionem generis; et hujusmodi intentionis licet proximum fundamentum non sit in re sed in intellectu, tamen remotum fundamentum est res ipsa. Unde intellectus non est falsus, qui has intentiones adinvenit. Et simile est de omnibus aliis qui consequuntur ex modo intelligendi, sicut est abstractio mathematicorum et hujusmodi.</w:t>
      </w:r>
      <w:r w:rsidRPr="002C704A">
        <w:rPr>
          <w:rFonts w:ascii="Bell MT" w:hAnsi="Bell MT" w:cs="Times New Roman"/>
          <w:color w:val="002200"/>
          <w:sz w:val="27"/>
          <w:szCs w:val="27"/>
          <w:lang w:val="es-CL"/>
        </w:rPr>
        <w:t xml:space="preserve"> Aliquando vero id quod significatur per nomen, non habet fundamentum in re, neque proximum neque remotum, sicut conceptio Chimerae: quia neque est similitudo alicujus rei extra animam, neque consequitur ex modo intelligendi rem aliquam naturae: et ideo ista conceptio est falsa. Unde patet secundum, scilicet quod ratio dicitur esse in re, inquantum significatum nominis, cui accidit esse rationem, est in re: et hoc contingit proprie, quando conceptio intellectus est similitudo rei. Quantum ad tertium, scilicet utrum rationes attributorum in Deo sint, sciendum est, quod circa hoc videtur esse </w:t>
      </w:r>
      <w:r w:rsidRPr="00FB4BE9">
        <w:rPr>
          <w:rFonts w:ascii="Bell MT" w:hAnsi="Bell MT" w:cs="Times New Roman"/>
          <w:color w:val="002200"/>
          <w:sz w:val="27"/>
          <w:szCs w:val="27"/>
          <w:highlight w:val="cyan"/>
          <w:lang w:val="es-CL"/>
        </w:rPr>
        <w:t>duplex opinio</w:t>
      </w:r>
      <w:r w:rsidRPr="002C704A">
        <w:rPr>
          <w:rFonts w:ascii="Bell MT" w:hAnsi="Bell MT" w:cs="Times New Roman"/>
          <w:color w:val="002200"/>
          <w:sz w:val="27"/>
          <w:szCs w:val="27"/>
          <w:lang w:val="es-CL"/>
        </w:rPr>
        <w:t xml:space="preserve">. Quidam enim dicunt, ut Avicenna et Rabbi Moyses, </w:t>
      </w:r>
      <w:r w:rsidRPr="00FB4BE9">
        <w:rPr>
          <w:rFonts w:ascii="Bell MT" w:hAnsi="Bell MT" w:cs="Times New Roman"/>
          <w:b/>
          <w:color w:val="002200"/>
          <w:sz w:val="27"/>
          <w:szCs w:val="27"/>
          <w:highlight w:val="yellow"/>
          <w:lang w:val="es-CL"/>
        </w:rPr>
        <w:t>quod res illa quae Deus est, est quoddam esse subsistens, nec aliqu</w:t>
      </w:r>
      <w:bookmarkStart w:id="13" w:name="_GoBack"/>
      <w:bookmarkEnd w:id="13"/>
      <w:r w:rsidRPr="00FB4BE9">
        <w:rPr>
          <w:rFonts w:ascii="Bell MT" w:hAnsi="Bell MT" w:cs="Times New Roman"/>
          <w:b/>
          <w:color w:val="002200"/>
          <w:sz w:val="27"/>
          <w:szCs w:val="27"/>
          <w:highlight w:val="yellow"/>
          <w:lang w:val="es-CL"/>
        </w:rPr>
        <w:t>id aliud nisi esse, in Deo est: unde dicunt, quod est esse sine essentia. Omnia autem alia quae Deo attribuuntur, verificantur de Deo dupliciter, secundum eos: vel per modum negationis, vel per modum causalitatis.</w:t>
      </w:r>
      <w:r w:rsidRPr="002C704A">
        <w:rPr>
          <w:rFonts w:ascii="Bell MT" w:hAnsi="Bell MT" w:cs="Times New Roman"/>
          <w:color w:val="002200"/>
          <w:sz w:val="27"/>
          <w:szCs w:val="27"/>
          <w:lang w:val="es-CL"/>
        </w:rPr>
        <w:t xml:space="preserve"> Per modum negationis dupliciter: vel ad removendum privationem seu defectum oppositum, ut dicimus Deum sapientem, ut removeatur defectus qui est in carentibus sapientia; vel secundum quod aliquid ex negatione consequitur, sicut est de hoc nomine unus, qui ex hoc ipso quod non est divisus, est unus. Similiter ex hoc ipso quod est immaterialis, est intelligens. Unde, secundum eos, omnia ista nomina potius sunt inventa ad removendum, quam ad ponendum aliquid in Deo. Item per modum causalitatis dupliciter: vel inquantum producit ista in creaturis, ut dicatur Deus bonus, quia bonitatem creaturis influit et sic de aliis; vel inquantum ad modum creaturae se habet, ut dicatur Deus volens vel pius, inquantum se habet ad modum volentis vel pii in modo producendi effectum, sicut dicitur iratus, quia ad modum irati se habet. Et secundum hanc opinionem sequitur quod omnia nomina quae dicuntur de Deo et creaturis, dicantur aequivoce, et quod nulla similitudo sit creaturae ad creatorem ex hoc quod creatura est bona vel sapiens vel hujusmodi aliquid; et hoc expresse dicit Rabbi Moyses. Secundum hoc, illud quod concipitur de nominibus attributorum, non refertur ad Deum, ut sit similitudo alicujus quod in eo est. Unde sequitur quod rationes istorum nominum non sunt in Deo, quasi fundamentum proximum habeant in ipso, sed remotum; sicut nos dicimus de relationibus quae ex tempore de Deo dicuntur; hujusmodi enim relationes in Deo secundum rem non sunt, sed sequuntur modum intelligendi, sicut dictum est de intentionibus. Et sic, secundum hanc opinionem, rationes horum attributorum sunt tantum in intellectu, et non in re, quae Deus est; et intellectus eas adinvenit ex consideratione creaturarum vel per negationem vel per causalitatem, ut dictum est. </w:t>
      </w:r>
      <w:r w:rsidRPr="002C704A">
        <w:rPr>
          <w:rFonts w:ascii="Bell MT" w:hAnsi="Bell MT" w:cs="Times New Roman"/>
          <w:b/>
          <w:color w:val="002200"/>
          <w:sz w:val="27"/>
          <w:szCs w:val="27"/>
          <w:lang w:val="es-CL"/>
        </w:rPr>
        <w:t>Alii vero dicunt, ut Dionysius et Anselmus, quod in Deo praeeminenter existit quidquid perfectionis in creaturis est.</w:t>
      </w:r>
      <w:r w:rsidRPr="002C704A">
        <w:rPr>
          <w:rFonts w:ascii="Bell MT" w:hAnsi="Bell MT" w:cs="Times New Roman"/>
          <w:color w:val="002200"/>
          <w:sz w:val="27"/>
          <w:szCs w:val="27"/>
          <w:lang w:val="es-CL"/>
        </w:rPr>
        <w:t xml:space="preserve"> Et haec eminentia attenditur quantum ad tria: scilicet quantum ad universalitatem, quia in Deo sunt omnes perfectiones adunatae, quae non congregantur in aliqua una creatura. Item quantum ad plenitudinem, quia est ibi sapientia sine omni defectu, et similiter de aliis attributis: quod non est in creaturis. Item quantum ad unitatem; quae enim in creaturis diversa sunt, in Deo sunt unum. Et quia in illo uno habet omnia, ideo secundum illud unum causat omnia, cognoscit omnia et omnia sibi per analogiam similantur. </w:t>
      </w:r>
      <w:r w:rsidRPr="002C704A">
        <w:rPr>
          <w:rFonts w:ascii="Bell MT" w:hAnsi="Bell MT" w:cs="Times New Roman"/>
          <w:b/>
          <w:color w:val="002200"/>
          <w:sz w:val="27"/>
          <w:szCs w:val="27"/>
          <w:lang w:val="es-CL"/>
        </w:rPr>
        <w:t>Secundum ergo hanc opinionem, conceptiones quas intellectus noster ex nominibus attributorum concipit, sunt vere similitudines rei, quae Deus est, quamvis deficientes et non plenae, sicut est de aliis rebus quae Deo similantur.</w:t>
      </w:r>
      <w:r w:rsidRPr="002C704A">
        <w:rPr>
          <w:rFonts w:ascii="Bell MT" w:hAnsi="Bell MT" w:cs="Times New Roman"/>
          <w:color w:val="002200"/>
          <w:sz w:val="27"/>
          <w:szCs w:val="27"/>
          <w:lang w:val="es-CL"/>
        </w:rPr>
        <w:t xml:space="preserve"> Unde hujusmodi rationes non sunt tantum in intellectu, quia habent proximum fundamentum in re quae Deus est. Et ex hoc contingit quod quidquid sequitur ad sapientiam, inquantum hujusmodi, recte et proprie convenit Deo. Hae autem opiniones, quamvis in superficie diversae videantur, tamen non sunt contrariae, si quis dictorum rationes ex causis assumit dicendi. Quia primi consideraverunt ipsas res creatas, quibus imponuntur nomina attributorum, sicut quod hoc nomen sapientia imponitur cuidam qualitati, et hoc nomen essentia cuidam rei quae non subsistit: et haec longe a Deo sunt: et ideo dixerunt, quod Deus est esse sine essentia, et quod non est in eo sapientia secundum se. Alii vero consideraverunt modos perfectionis, ex quibus dicta nomina sumuntur: et, quia Deus secundum unum simplex esse omnibus modis perfectus est, qui importantur per hujusmodi nomina, ideo dixerunt, quod ista nomina positive Deo conveniunt. Sic ergo patet quod quaelibet harum opinionum non negat hoc quod alia dicit: quia nec primi dicunt aliquem modum perfectionis Deo deesse, nec secundi qualitatem, aut res non subsistentes in Deo ponunt. Sic ergo patet tertium, scilicet quod rationes attributorum sunt vere in Deo, quia ratio nominis magis se tenet ex parte ejus a quo imponitur nomen, quam ex parte ejus cui imponitur. Quantum vero ad quartum, scilicet utrum pluralitas istarum rationum sit tantum ex parte intellectus nostri, vel aliquo modo ex parte rei, sciendum est, quod ista pluralitas rationum contingit ex hoc quod res quae Deus est, superat intellectum nostrum. Intellectus enim noster non potest una conceptione diversos modos perfectionis accipere: tum quia ex creaturis cognitionem accipit, in quibus sunt diversi modi perfectionum secundum diversas formas: tum quia hoc quod in Deo est unum et simplex, plurificatur in intellectu nostro, etiam si immediate a Deo reciperet; sicut multiplicatur processio suae bonitatis in aliis creaturis. Unde, cum Deus secundum unam et eamdem rem sit omnibus modis perfectus, una conceptione non potest integre perfectionem ejus apprehendere, et per consequens nec nominare; et ideo oportet quod diversas conceptiones de eo habeat, quae sunt diversae rationes, et quod diversa nomina imponat significantia rationes illas. Unde nomina illa non sunt synonima, inquantum significant rationes diversas. Si autem intellectus noster Deum per seipsum videret, illi rationi posset imponere nomen unum: quod erit in patria; et ideo dicitur Zach. ult. 9:</w:t>
      </w:r>
      <w:r w:rsidRPr="00C00801">
        <w:rPr>
          <w:rFonts w:ascii="Bell MT" w:hAnsi="Bell MT" w:cs="Times New Roman"/>
          <w:color w:val="002200"/>
          <w:sz w:val="27"/>
          <w:szCs w:val="27"/>
          <w:lang w:val="es-CL"/>
        </w:rPr>
        <w:t> </w:t>
      </w:r>
      <w:r w:rsidRPr="002C704A">
        <w:rPr>
          <w:rFonts w:ascii="Bell MT" w:hAnsi="Bell MT" w:cs="Times New Roman"/>
          <w:i/>
          <w:iCs/>
          <w:color w:val="002200"/>
          <w:sz w:val="27"/>
          <w:szCs w:val="27"/>
          <w:lang w:val="es-CL"/>
        </w:rPr>
        <w:t>in illa die erit dominus unus, et nomen ejus unum</w:t>
      </w:r>
      <w:r w:rsidRPr="002C704A">
        <w:rPr>
          <w:rFonts w:ascii="Bell MT" w:hAnsi="Bell MT" w:cs="Times New Roman"/>
          <w:color w:val="002200"/>
          <w:sz w:val="27"/>
          <w:szCs w:val="27"/>
          <w:lang w:val="es-CL"/>
        </w:rPr>
        <w:t>. Illud autem nomen unum non significaret bonitatem tantum, nec sapientiam tantum, aut aliquid hujusmodi, sed significata omnium istorum includeret. Sed tamen si intellectus videns Deum per essentiam imponeret nomen rei quam videret, et nominaret mediante conceptione quam de ea habet, oporteret adhuc quod imponeret plura nomina: quia impossibile est quod conceptio intellectus creati repraesentet totam perfectionem divinae essentiae. Unde una re visa diversas conceptiones formaret, et diversa nomina imponeret, sicut etiam Chrysostomus dicit, quod Angeli laudant Deum, quidam ut majestatem, quidam ut bonitatem, et sic de aliis, in signum quod ipsum non vident visione comprehendente; sed conceptio perfecte repraesentans eum est verbum increatum; et ideo est unum tantum. Sic ergo patet quod pluralitas nominum venit ex hoc quod ipse Deus nostrum intellectum excedit. Quod autem Deus excedat intellectum nostrum, est ex parte ipsius Dei, propter plenitudinem perfectionis ejus, et ex parte intellectus nostri, qui deficienter se habet ad eam comprehendendam. Unde patet quod pluralitas istarum rationum non tantum est ex parte intellectus nostri, sed etiam ex parte ipsius Dei, inquantum sua perfectio superat unamquamque conceptionem nostri intellectus. Et ideo pluralitati istarum rationum respondet aliquid in re quae Deus est: non quidem pluralitas rei, sed plena perfectio, ex qua contingit ut omnes istae conceptiones ei aptentur. Qui ergo dixerunt, quod pluralitas ista est tantum ex parte intellectus nostri, vel ex parte effectuum, quodammodo verum dixerunt, et quodammodo non. Si enim hoc referatur ad causam multiplicationis, sic verum dicunt, quod est ex parte intellectus nostri, et effectuum quodammodo, ex eo quod intellectus noster non potest concipere divinam perfectionem una conceptione, sed pluribus; cujus una ratio est ex hoc quod est assuefactus ad res creatas. Si autem referatur ad modum quo istae rationes attribuuntur Deo, falsum dicunt. Non enim ex hoc quod bona facit, vel quia ad modum bonorum se habet, bonus est; sed quia bonus est, ideo bona facit, et alia participando ejus bonitatem ad modum ejus se habent. Unde si nullam creaturam fecisset nec facturus esset, ipse in se talis esset ut posset vere considerari secundum omnes istas conceptiones, quas habet nunc intellectus noster ipsum considerando. Et sic patet quartum, quod pluralitas istorum nominum non tantum est ex parte intellectus nostri formantis diversas conceptiones de Deo, quae dicuntur diversae rationes, ut ex dictis, art. anteced., patet, sed ex parte ipsius Dei, inquantum scilicet est aliquid in Deo correspondens omnibus istis conceptionibus, scilicet plena et omnimoda ipsius perfectio, secundum quam contingit quod quodlibet nominum significantium istas conceptiones, de Deo vere et proprie dicitur; non autem ita quod aliqua diversitas vel multiplicitas ponatur in re, quae Deus est, ratione istorum attributorum.</w:t>
      </w:r>
    </w:p>
    <w:p w14:paraId="113F8A0C"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4" w:name="189"/>
      <w:r w:rsidRPr="00C00801">
        <w:rPr>
          <w:rFonts w:ascii="Bell MT" w:hAnsi="Bell MT" w:cs="Times New Roman"/>
          <w:color w:val="99CCCC"/>
          <w:shd w:val="clear" w:color="auto" w:fill="EAEBD7"/>
          <w:lang w:val="es-CL"/>
        </w:rPr>
        <w:t>[189] Super Sent., lib. 1 d. 2 q. 1 a. 3 ad 1</w:t>
      </w:r>
      <w:bookmarkEnd w:id="14"/>
      <w:r w:rsidRPr="002C704A">
        <w:rPr>
          <w:rFonts w:ascii="Bell MT" w:hAnsi="Bell MT" w:cs="Times New Roman"/>
          <w:color w:val="002200"/>
          <w:sz w:val="27"/>
          <w:szCs w:val="27"/>
          <w:lang w:val="es-CL"/>
        </w:rPr>
        <w:t>His visis facile est respondere ad objecta. Ad primum ergo dicendum, quod intentio Dionysii est dicere, quod secundum diversas bonitates quas creaturis influit Deus nominatur, manifestatur et laudatur; non autem ita quod rationes illarum bonitatum ex hoc verificentur de eo quia creaturis eas influit, sed magis e converso, ut dictum est, in corp. Quamvis enim conditio causae cognoscatur ex conditionibus effectus, non tamen conditio causae verificatur propter conditiones effectus, sed e converso.</w:t>
      </w:r>
    </w:p>
    <w:p w14:paraId="4D9FA4AF"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5" w:name="190"/>
      <w:r w:rsidRPr="00C00801">
        <w:rPr>
          <w:rFonts w:ascii="Bell MT" w:hAnsi="Bell MT" w:cs="Times New Roman"/>
          <w:color w:val="99CCCC"/>
          <w:shd w:val="clear" w:color="auto" w:fill="EAEBD7"/>
          <w:lang w:val="es-CL"/>
        </w:rPr>
        <w:t>[190] Super Sent., lib. 1 d. 2 q. 1 a. 3 ad 2</w:t>
      </w:r>
      <w:bookmarkEnd w:id="15"/>
      <w:r w:rsidRPr="002C704A">
        <w:rPr>
          <w:rFonts w:ascii="Bell MT" w:hAnsi="Bell MT" w:cs="Times New Roman"/>
          <w:color w:val="002200"/>
          <w:sz w:val="27"/>
          <w:szCs w:val="27"/>
          <w:lang w:val="es-CL"/>
        </w:rPr>
        <w:t>Ad secundum dicendum, quod intellectus noster id quod concipit de bonitate vel de sapientia non refert in Deum quasi in eo sit per modum quo ipse concipit, quia hoc esset comprehendere ejus sapientiam vel bonitatem; sed intelligit ipsam bonitatem divinam, cui aliqualiter simile est quod intellectus noster concipit, esse supra id quod de eo concipitur. Unde per hujusmodi conceptiones non videtur ipse Deus secundum quod in se est, sed intelligitur supra intellectum. Et hoc vult dicere Dionysius in illa auctoritate.</w:t>
      </w:r>
    </w:p>
    <w:p w14:paraId="007D9B81"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6" w:name="191"/>
      <w:r w:rsidRPr="00C00801">
        <w:rPr>
          <w:rFonts w:ascii="Bell MT" w:hAnsi="Bell MT" w:cs="Times New Roman"/>
          <w:color w:val="99CCCC"/>
          <w:shd w:val="clear" w:color="auto" w:fill="EAEBD7"/>
          <w:lang w:val="es-CL"/>
        </w:rPr>
        <w:t>[191] Super Sent., lib. 1 d. 2 q. 1 a. 3 ad 3</w:t>
      </w:r>
      <w:bookmarkEnd w:id="16"/>
      <w:r w:rsidRPr="002C704A">
        <w:rPr>
          <w:rFonts w:ascii="Bell MT" w:hAnsi="Bell MT" w:cs="Times New Roman"/>
          <w:color w:val="002200"/>
          <w:sz w:val="27"/>
          <w:szCs w:val="27"/>
          <w:lang w:val="es-CL"/>
        </w:rPr>
        <w:t>Ad tertium dicendum, quod multiplicitas ista attributorum nullo modo ponitur in Deo quasi ipse secundum rem sit multiplex; sed tamen ipse secundum suam simplicem perfectionem, multitudini istorum attributorum correspondet, ut vere de Deo dicantur. Et hoc intendit Commentator.</w:t>
      </w:r>
    </w:p>
    <w:p w14:paraId="6DC353BD"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7" w:name="192"/>
      <w:r w:rsidRPr="00C00801">
        <w:rPr>
          <w:rFonts w:ascii="Bell MT" w:hAnsi="Bell MT" w:cs="Times New Roman"/>
          <w:color w:val="99CCCC"/>
          <w:shd w:val="clear" w:color="auto" w:fill="EAEBD7"/>
          <w:lang w:val="es-CL"/>
        </w:rPr>
        <w:t>[192] Super Sent., lib. 1 d. 2 q. 1 a. 3 ad 4</w:t>
      </w:r>
      <w:bookmarkEnd w:id="17"/>
      <w:r w:rsidRPr="002C704A">
        <w:rPr>
          <w:rFonts w:ascii="Bell MT" w:hAnsi="Bell MT" w:cs="Times New Roman"/>
          <w:color w:val="002200"/>
          <w:sz w:val="27"/>
          <w:szCs w:val="27"/>
          <w:lang w:val="es-CL"/>
        </w:rPr>
        <w:t>Ad quartum dicendum, quod sicut ratio hominis non dicitur esse in homine quasi res quaedam in ipso, sed est sicut in subjecto in intellectu, et est in homine sicut in eo quod praestat fulcimentum veritati ipsius; ita etiam ratio bonitatis divinae est in intellectu sicut in subjecto, in Deo autem sicut in eo quod correspondet per quamdam similitudinem isti rationi, faciens ejus veritatem. Unde patet quod ratio procedit ex malo intellectu ejus quod dicitur.</w:t>
      </w:r>
    </w:p>
    <w:p w14:paraId="79707C7C"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8" w:name="193"/>
      <w:r w:rsidRPr="00C00801">
        <w:rPr>
          <w:rFonts w:ascii="Bell MT" w:hAnsi="Bell MT" w:cs="Times New Roman"/>
          <w:color w:val="99CCCC"/>
          <w:shd w:val="clear" w:color="auto" w:fill="EAEBD7"/>
          <w:lang w:val="es-CL"/>
        </w:rPr>
        <w:t>[193] Super Sent., lib. 1 d. 2 q. 1 a. 3 ad 5</w:t>
      </w:r>
      <w:bookmarkEnd w:id="18"/>
      <w:r w:rsidRPr="002C704A">
        <w:rPr>
          <w:rFonts w:ascii="Bell MT" w:hAnsi="Bell MT" w:cs="Times New Roman"/>
          <w:color w:val="002200"/>
          <w:sz w:val="27"/>
          <w:szCs w:val="27"/>
          <w:lang w:val="es-CL"/>
        </w:rPr>
        <w:t>Ad quintum dicendum, quod aliquid dicitur fundari vel radicari in aliquo metaphorice, ex quo firmitatem habet. Rationes autem intellectae habent duplicem firmitatem: scilicet firmitatem sui esse, et hanc habent ab intellectu, sicut alia accidentia a suis subjectis; et firmitatem suae veritatis, et hanc habent ex re cui conformantur. Ex eo enim quod res est vel non est locutio et intellectus veritatem vel falsitatem habet. Rationes ergo attributorum fundantur vel radicantur in intellectu quantum ad firmitatem sui esse, quia, ut dictum est, art. anteced., intellectus est earum subjectum; in essentia autem divina quantum ad firmitatem suae veritatis; et hoc in nullo repugnat divinae simplicitati.</w:t>
      </w:r>
    </w:p>
    <w:p w14:paraId="6B648BF8" w14:textId="77777777" w:rsidR="002C704A" w:rsidRPr="002C704A" w:rsidRDefault="002C704A" w:rsidP="002C704A">
      <w:pPr>
        <w:spacing w:before="100" w:beforeAutospacing="1" w:after="100" w:afterAutospacing="1" w:line="360" w:lineRule="atLeast"/>
        <w:jc w:val="both"/>
        <w:rPr>
          <w:rFonts w:ascii="Bell MT" w:hAnsi="Bell MT" w:cs="Times New Roman"/>
          <w:color w:val="002200"/>
          <w:sz w:val="27"/>
          <w:szCs w:val="27"/>
          <w:lang w:val="es-CL"/>
        </w:rPr>
      </w:pPr>
      <w:bookmarkStart w:id="19" w:name="194"/>
      <w:r w:rsidRPr="00C00801">
        <w:rPr>
          <w:rFonts w:ascii="Bell MT" w:hAnsi="Bell MT" w:cs="Times New Roman"/>
          <w:color w:val="99CCCC"/>
          <w:shd w:val="clear" w:color="auto" w:fill="EAEBD7"/>
          <w:lang w:val="es-CL"/>
        </w:rPr>
        <w:t>[194] Super Sent., lib. 1 d. 2 q. 1 a. 3 ad 6</w:t>
      </w:r>
      <w:bookmarkEnd w:id="19"/>
      <w:r w:rsidRPr="002C704A">
        <w:rPr>
          <w:rFonts w:ascii="Bell MT" w:hAnsi="Bell MT" w:cs="Times New Roman"/>
          <w:color w:val="002200"/>
          <w:sz w:val="27"/>
          <w:szCs w:val="27"/>
          <w:lang w:val="es-CL"/>
        </w:rPr>
        <w:t>Ad sextum dicendum, quod in Deo omnia sunt unum re, praeter ingenerationem, generationem, et processionem, quae constituunt personas re distinctas: non autem oportet quod quidquid praeter ista de Deo dicitur, sit unum ratione. Et similiter intelligendum est quod dicit Boetius, quod sola relatio multiplicat Trinitatem, scilicet pluralitate reali. Tunc enim aliquid est unum re et ratione multiplex, quando una res respondet diversis conceptionibus et nominibus, ut de ea verificentur; sicut punctum, quod cum sit una res, respondet secundum veritatem diversis conceptionibus de eo factis, sive prout cogitatur in se, sive prout cogitatur centrum, sive prout cogitatur principium linearum; et hae rationes sive conceptiones sunt in intellectu sicut in subjecto, et in ipso puncto sicut in fundamento veritatis istarum conceptionum. Quamvis istud exemplum non sit usquequaque conveniens, sicut nec alia quae in divinis inducuntur.</w:t>
      </w:r>
    </w:p>
    <w:p w14:paraId="0B5A8ABB" w14:textId="77777777" w:rsidR="00C96651" w:rsidRPr="00C00801" w:rsidRDefault="00C96651">
      <w:pPr>
        <w:rPr>
          <w:rFonts w:ascii="Bell MT" w:hAnsi="Bell MT"/>
        </w:rPr>
      </w:pPr>
    </w:p>
    <w:sectPr w:rsidR="00C96651" w:rsidRPr="00C00801" w:rsidSect="00C96651">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4A"/>
    <w:rsid w:val="00033880"/>
    <w:rsid w:val="002C704A"/>
    <w:rsid w:val="00C00801"/>
    <w:rsid w:val="00C96651"/>
    <w:rsid w:val="00FB4BE9"/>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7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704A"/>
    <w:pPr>
      <w:spacing w:before="100" w:beforeAutospacing="1" w:after="100" w:afterAutospacing="1"/>
    </w:pPr>
    <w:rPr>
      <w:rFonts w:ascii="Times" w:hAnsi="Times" w:cs="Times New Roman"/>
      <w:sz w:val="20"/>
      <w:szCs w:val="20"/>
      <w:lang w:val="es-CL"/>
    </w:rPr>
  </w:style>
  <w:style w:type="character" w:customStyle="1" w:styleId="ref">
    <w:name w:val="ref"/>
    <w:basedOn w:val="Fuentedeprrafopredeter"/>
    <w:rsid w:val="002C704A"/>
  </w:style>
  <w:style w:type="character" w:customStyle="1" w:styleId="apple-converted-space">
    <w:name w:val="apple-converted-space"/>
    <w:basedOn w:val="Fuentedeprrafopredeter"/>
    <w:rsid w:val="002C70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704A"/>
    <w:pPr>
      <w:spacing w:before="100" w:beforeAutospacing="1" w:after="100" w:afterAutospacing="1"/>
    </w:pPr>
    <w:rPr>
      <w:rFonts w:ascii="Times" w:hAnsi="Times" w:cs="Times New Roman"/>
      <w:sz w:val="20"/>
      <w:szCs w:val="20"/>
      <w:lang w:val="es-CL"/>
    </w:rPr>
  </w:style>
  <w:style w:type="character" w:customStyle="1" w:styleId="ref">
    <w:name w:val="ref"/>
    <w:basedOn w:val="Fuentedeprrafopredeter"/>
    <w:rsid w:val="002C704A"/>
  </w:style>
  <w:style w:type="character" w:customStyle="1" w:styleId="apple-converted-space">
    <w:name w:val="apple-converted-space"/>
    <w:basedOn w:val="Fuentedeprrafopredeter"/>
    <w:rsid w:val="002C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7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3412</Words>
  <Characters>18771</Characters>
  <Application>Microsoft Macintosh Word</Application>
  <DocSecurity>0</DocSecurity>
  <Lines>156</Lines>
  <Paragraphs>44</Paragraphs>
  <ScaleCrop>false</ScaleCrop>
  <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2</cp:revision>
  <dcterms:created xsi:type="dcterms:W3CDTF">2017-08-07T05:16:00Z</dcterms:created>
  <dcterms:modified xsi:type="dcterms:W3CDTF">2017-08-07T05:44:00Z</dcterms:modified>
</cp:coreProperties>
</file>