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3F" w:rsidRPr="00E20D3F" w:rsidRDefault="00E20D3F" w:rsidP="00E20D3F">
      <w:pPr>
        <w:widowControl w:val="0"/>
        <w:autoSpaceDE w:val="0"/>
        <w:autoSpaceDN w:val="0"/>
        <w:adjustRightInd w:val="0"/>
        <w:spacing w:after="0" w:line="240" w:lineRule="auto"/>
        <w:jc w:val="center"/>
        <w:rPr>
          <w:rFonts w:ascii="Times New Roman" w:eastAsiaTheme="minorEastAsia" w:hAnsi="Times New Roman" w:cs="Times New Roman"/>
          <w:sz w:val="28"/>
          <w:szCs w:val="28"/>
          <w:lang w:val="es-MX" w:eastAsia="es-CL"/>
        </w:rPr>
      </w:pPr>
      <w:bookmarkStart w:id="0" w:name="_GoBack"/>
      <w:bookmarkEnd w:id="0"/>
      <w:r w:rsidRPr="00E20D3F">
        <w:rPr>
          <w:rFonts w:ascii="Times New Roman" w:eastAsiaTheme="minorEastAsia" w:hAnsi="Times New Roman" w:cs="Times New Roman"/>
          <w:sz w:val="28"/>
          <w:szCs w:val="28"/>
          <w:lang w:val="es-MX" w:eastAsia="es-CL"/>
        </w:rPr>
        <w:t>PROGRAMA</w:t>
      </w:r>
    </w:p>
    <w:p w:rsidR="00E20D3F" w:rsidRPr="00E20D3F" w:rsidRDefault="00E20D3F" w:rsidP="00E20D3F">
      <w:pPr>
        <w:widowControl w:val="0"/>
        <w:autoSpaceDE w:val="0"/>
        <w:autoSpaceDN w:val="0"/>
        <w:adjustRightInd w:val="0"/>
        <w:spacing w:after="0" w:line="240" w:lineRule="auto"/>
        <w:jc w:val="center"/>
        <w:rPr>
          <w:rFonts w:ascii="Times New Roman" w:eastAsiaTheme="minorEastAsia" w:hAnsi="Times New Roman" w:cs="Times New Roman"/>
          <w:sz w:val="28"/>
          <w:szCs w:val="28"/>
          <w:lang w:val="es-MX" w:eastAsia="es-CL"/>
        </w:rPr>
      </w:pPr>
    </w:p>
    <w:p w:rsidR="00E20D3F" w:rsidRPr="00E20D3F" w:rsidRDefault="00E20D3F" w:rsidP="00E20D3F">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s-MX" w:eastAsia="es-CL"/>
        </w:rPr>
      </w:pP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1. IDENTIFICACIÓN</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 Nombre de la asignatura:                            Seminario;  “</w:t>
      </w:r>
      <w:r w:rsidRPr="00E20D3F">
        <w:rPr>
          <w:rFonts w:ascii="Times New Roman" w:eastAsiaTheme="minorEastAsia" w:hAnsi="Times New Roman" w:cs="Times New Roman"/>
          <w:i/>
          <w:sz w:val="24"/>
          <w:szCs w:val="24"/>
          <w:lang w:val="es-MX" w:eastAsia="es-CL"/>
        </w:rPr>
        <w:t>La lógica en el “Tratado sobre la naturaleza  humana” de D. Hume</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 Año académico en que se dicta:                       2013</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 Carácter:                                                           Electivo</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 Profesor:                                                           Francisco Abalo C.</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 Horario:                                                           (Por fijar)</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 Número de horas cronológicas semanales:      3 hrs.</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 Horario de atención de alumnos:                      Lunes, 14:00-16:00</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p>
    <w:p w:rsidR="00E20D3F" w:rsidRDefault="00E20D3F" w:rsidP="00E20D3F">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CL"/>
        </w:rPr>
      </w:pPr>
      <w:r w:rsidRPr="00E20D3F">
        <w:rPr>
          <w:rFonts w:ascii="Times New Roman" w:eastAsiaTheme="minorEastAsia" w:hAnsi="Times New Roman" w:cs="Times New Roman"/>
          <w:sz w:val="24"/>
          <w:szCs w:val="24"/>
          <w:lang w:val="es-ES_tradnl" w:eastAsia="es-CL"/>
        </w:rPr>
        <w:t xml:space="preserve">2. DESCRIPCIÓN </w:t>
      </w:r>
    </w:p>
    <w:p w:rsidR="00483E35" w:rsidRPr="00E20D3F" w:rsidRDefault="00483E35" w:rsidP="00E20D3F">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CL"/>
        </w:rPr>
      </w:pPr>
      <w:r>
        <w:rPr>
          <w:rFonts w:ascii="Times New Roman" w:eastAsiaTheme="minorEastAsia" w:hAnsi="Times New Roman" w:cs="Times New Roman"/>
          <w:sz w:val="24"/>
          <w:szCs w:val="24"/>
          <w:lang w:val="es-ES_tradnl" w:eastAsia="es-CL"/>
        </w:rPr>
        <w:t xml:space="preserve">La palabra “lógica” en este contexto requiere de una aclaración. </w:t>
      </w:r>
      <w:r w:rsidR="00163145">
        <w:rPr>
          <w:rFonts w:ascii="Times New Roman" w:eastAsiaTheme="minorEastAsia" w:hAnsi="Times New Roman" w:cs="Times New Roman"/>
          <w:sz w:val="24"/>
          <w:szCs w:val="24"/>
          <w:lang w:val="es-ES_tradnl" w:eastAsia="es-CL"/>
        </w:rPr>
        <w:t>Esta significada aquí en el sentido en que D. Hume la entiende, es decir, como la disciplina que explica los principios y operaciones de nuestra facultad de razonar y la naturaleza y origen de nuestras ideas. En este sentido, en la palabra “lógica” no está comprendido sólo el aspecto así llamado formal, sino que mediante este uso se incluye las condiciones cognitivas que posibilitan nuestros razonamientos acerca de “cuestiones de hecho”. De esta forma el grueso del trabajo está dedicado a alcanzar una comprensión adecuada de lo que el autor ha expuesto en el libro primero de su célebre “</w:t>
      </w:r>
      <w:r w:rsidR="00163145" w:rsidRPr="00163145">
        <w:rPr>
          <w:rFonts w:ascii="Times New Roman" w:eastAsiaTheme="minorEastAsia" w:hAnsi="Times New Roman" w:cs="Times New Roman"/>
          <w:b/>
          <w:sz w:val="24"/>
          <w:szCs w:val="24"/>
          <w:lang w:val="es-ES_tradnl" w:eastAsia="es-CL"/>
        </w:rPr>
        <w:t>Tratado sobre la naturaleza humana</w:t>
      </w:r>
      <w:r w:rsidR="00163145">
        <w:rPr>
          <w:rFonts w:ascii="Times New Roman" w:eastAsiaTheme="minorEastAsia" w:hAnsi="Times New Roman" w:cs="Times New Roman"/>
          <w:sz w:val="24"/>
          <w:szCs w:val="24"/>
          <w:lang w:val="es-ES_tradnl" w:eastAsia="es-CL"/>
        </w:rPr>
        <w:t>” principalmente.</w:t>
      </w:r>
    </w:p>
    <w:p w:rsidR="00E20D3F" w:rsidRPr="00E20D3F" w:rsidRDefault="00E20D3F" w:rsidP="00E20D3F">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val="es-ES_tradnl" w:eastAsia="es-CL"/>
        </w:rPr>
      </w:pPr>
    </w:p>
    <w:p w:rsidR="00E20D3F" w:rsidRPr="00E20D3F" w:rsidRDefault="00E20D3F" w:rsidP="00E20D3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es-ES_tradnl" w:eastAsia="es-CL"/>
        </w:rPr>
      </w:pPr>
    </w:p>
    <w:p w:rsidR="00E20D3F" w:rsidRPr="00E20D3F" w:rsidRDefault="00E20D3F" w:rsidP="00E20D3F">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CL"/>
        </w:rPr>
      </w:pPr>
      <w:r w:rsidRPr="00E20D3F">
        <w:rPr>
          <w:rFonts w:ascii="Times New Roman" w:eastAsiaTheme="minorEastAsia" w:hAnsi="Times New Roman" w:cs="Times New Roman"/>
          <w:sz w:val="24"/>
          <w:szCs w:val="24"/>
          <w:lang w:val="es-ES_tradnl" w:eastAsia="es-CL"/>
        </w:rPr>
        <w:t>3. OBJETIVOS</w:t>
      </w:r>
    </w:p>
    <w:p w:rsidR="00E20D3F" w:rsidRDefault="00E20D3F" w:rsidP="00E20D3F">
      <w:pPr>
        <w:widowControl w:val="0"/>
        <w:autoSpaceDE w:val="0"/>
        <w:autoSpaceDN w:val="0"/>
        <w:adjustRightInd w:val="0"/>
        <w:spacing w:after="0" w:line="240" w:lineRule="auto"/>
        <w:ind w:left="720" w:hanging="360"/>
        <w:jc w:val="both"/>
        <w:rPr>
          <w:rFonts w:ascii="Times New Roman" w:eastAsiaTheme="minorEastAsia" w:hAnsi="Times New Roman" w:cs="Times New Roman"/>
          <w:sz w:val="24"/>
          <w:szCs w:val="24"/>
          <w:lang w:val="es-ES_tradnl" w:eastAsia="es-CL"/>
        </w:rPr>
      </w:pPr>
      <w:r w:rsidRPr="00E20D3F">
        <w:rPr>
          <w:rFonts w:ascii="Times New Roman" w:eastAsiaTheme="minorEastAsia" w:hAnsi="Times New Roman" w:cs="Times New Roman"/>
          <w:sz w:val="24"/>
          <w:szCs w:val="24"/>
          <w:lang w:val="es-ES_tradnl" w:eastAsia="es-CL"/>
        </w:rPr>
        <w:t>A.</w:t>
      </w:r>
      <w:r w:rsidRPr="00E20D3F">
        <w:rPr>
          <w:rFonts w:ascii="Times New Roman" w:eastAsiaTheme="minorEastAsia" w:hAnsi="Times New Roman" w:cs="Times New Roman"/>
          <w:sz w:val="24"/>
          <w:szCs w:val="24"/>
          <w:lang w:val="es-ES_tradnl" w:eastAsia="es-CL"/>
        </w:rPr>
        <w:tab/>
        <w:t>Objetivo General.</w:t>
      </w:r>
    </w:p>
    <w:p w:rsidR="00E20D3F" w:rsidRPr="00E20D3F" w:rsidRDefault="00E20D3F" w:rsidP="00E20D3F">
      <w:pPr>
        <w:widowControl w:val="0"/>
        <w:autoSpaceDE w:val="0"/>
        <w:autoSpaceDN w:val="0"/>
        <w:adjustRightInd w:val="0"/>
        <w:spacing w:after="0" w:line="240" w:lineRule="auto"/>
        <w:ind w:left="720" w:hanging="360"/>
        <w:rPr>
          <w:rFonts w:ascii="Times New Roman" w:eastAsiaTheme="minorEastAsia" w:hAnsi="Times New Roman" w:cs="Times New Roman"/>
          <w:sz w:val="24"/>
          <w:szCs w:val="24"/>
          <w:lang w:val="es-ES_tradnl" w:eastAsia="es-CL"/>
        </w:rPr>
      </w:pPr>
      <w:r>
        <w:rPr>
          <w:rFonts w:ascii="Times New Roman" w:eastAsiaTheme="minorEastAsia" w:hAnsi="Times New Roman" w:cs="Times New Roman"/>
          <w:sz w:val="24"/>
          <w:szCs w:val="24"/>
          <w:lang w:val="es-ES_tradnl" w:eastAsia="es-CL"/>
        </w:rPr>
        <w:t>- Llegar a una comprensión adecuada de los diversos aspectos que contempla la “lógica” de Hume</w:t>
      </w:r>
    </w:p>
    <w:p w:rsidR="00E20D3F" w:rsidRPr="00E20D3F" w:rsidRDefault="00E20D3F" w:rsidP="00E20D3F">
      <w:pPr>
        <w:widowControl w:val="0"/>
        <w:autoSpaceDE w:val="0"/>
        <w:autoSpaceDN w:val="0"/>
        <w:adjustRightInd w:val="0"/>
        <w:spacing w:after="0" w:line="240" w:lineRule="auto"/>
        <w:ind w:left="360"/>
        <w:rPr>
          <w:rFonts w:ascii="Times New Roman" w:eastAsiaTheme="minorEastAsia" w:hAnsi="Times New Roman" w:cs="Times New Roman"/>
          <w:sz w:val="24"/>
          <w:szCs w:val="24"/>
          <w:lang w:val="es-ES_tradnl" w:eastAsia="es-CL"/>
        </w:rPr>
      </w:pPr>
    </w:p>
    <w:p w:rsidR="00E20D3F" w:rsidRPr="00E20D3F" w:rsidRDefault="00E20D3F" w:rsidP="00E20D3F">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val="es-ES_tradnl" w:eastAsia="es-CL"/>
        </w:rPr>
      </w:pPr>
    </w:p>
    <w:p w:rsidR="00E20D3F" w:rsidRDefault="00E20D3F" w:rsidP="00E20D3F">
      <w:pPr>
        <w:widowControl w:val="0"/>
        <w:autoSpaceDE w:val="0"/>
        <w:autoSpaceDN w:val="0"/>
        <w:adjustRightInd w:val="0"/>
        <w:spacing w:after="0" w:line="240" w:lineRule="auto"/>
        <w:ind w:left="720" w:hanging="360"/>
        <w:jc w:val="both"/>
        <w:rPr>
          <w:rFonts w:ascii="Times New Roman" w:eastAsiaTheme="minorEastAsia" w:hAnsi="Times New Roman" w:cs="Times New Roman"/>
          <w:sz w:val="24"/>
          <w:szCs w:val="24"/>
          <w:lang w:val="es-ES_tradnl" w:eastAsia="es-CL"/>
        </w:rPr>
      </w:pPr>
      <w:r w:rsidRPr="00E20D3F">
        <w:rPr>
          <w:rFonts w:ascii="Times New Roman" w:eastAsiaTheme="minorEastAsia" w:hAnsi="Times New Roman" w:cs="Times New Roman"/>
          <w:sz w:val="24"/>
          <w:szCs w:val="24"/>
          <w:lang w:val="es-ES_tradnl" w:eastAsia="es-CL"/>
        </w:rPr>
        <w:t>B.</w:t>
      </w:r>
      <w:r w:rsidRPr="00E20D3F">
        <w:rPr>
          <w:rFonts w:ascii="Times New Roman" w:eastAsiaTheme="minorEastAsia" w:hAnsi="Times New Roman" w:cs="Times New Roman"/>
          <w:sz w:val="24"/>
          <w:szCs w:val="24"/>
          <w:lang w:val="es-ES_tradnl" w:eastAsia="es-CL"/>
        </w:rPr>
        <w:tab/>
        <w:t>Objetivos Específicos</w:t>
      </w:r>
      <w:r w:rsidR="00483E35">
        <w:rPr>
          <w:rFonts w:ascii="Times New Roman" w:eastAsiaTheme="minorEastAsia" w:hAnsi="Times New Roman" w:cs="Times New Roman"/>
          <w:sz w:val="24"/>
          <w:szCs w:val="24"/>
          <w:lang w:val="es-ES_tradnl" w:eastAsia="es-CL"/>
        </w:rPr>
        <w:t>.</w:t>
      </w:r>
    </w:p>
    <w:p w:rsidR="00483E35" w:rsidRDefault="00483E35" w:rsidP="00E20D3F">
      <w:pPr>
        <w:widowControl w:val="0"/>
        <w:autoSpaceDE w:val="0"/>
        <w:autoSpaceDN w:val="0"/>
        <w:adjustRightInd w:val="0"/>
        <w:spacing w:after="0" w:line="240" w:lineRule="auto"/>
        <w:ind w:left="720" w:hanging="360"/>
        <w:jc w:val="both"/>
        <w:rPr>
          <w:rFonts w:ascii="Times New Roman" w:eastAsiaTheme="minorEastAsia" w:hAnsi="Times New Roman" w:cs="Times New Roman"/>
          <w:sz w:val="24"/>
          <w:szCs w:val="24"/>
          <w:lang w:val="es-ES_tradnl" w:eastAsia="es-CL"/>
        </w:rPr>
      </w:pPr>
      <w:r>
        <w:rPr>
          <w:rFonts w:ascii="Times New Roman" w:eastAsiaTheme="minorEastAsia" w:hAnsi="Times New Roman" w:cs="Times New Roman"/>
          <w:sz w:val="24"/>
          <w:szCs w:val="24"/>
          <w:lang w:val="es-ES_tradnl" w:eastAsia="es-CL"/>
        </w:rPr>
        <w:t>- Comprender la génesis de las “ideas” que propone el autor.</w:t>
      </w:r>
    </w:p>
    <w:p w:rsidR="00483E35" w:rsidRDefault="00483E35" w:rsidP="00E20D3F">
      <w:pPr>
        <w:widowControl w:val="0"/>
        <w:autoSpaceDE w:val="0"/>
        <w:autoSpaceDN w:val="0"/>
        <w:adjustRightInd w:val="0"/>
        <w:spacing w:after="0" w:line="240" w:lineRule="auto"/>
        <w:ind w:left="720" w:hanging="360"/>
        <w:jc w:val="both"/>
        <w:rPr>
          <w:rFonts w:ascii="Times New Roman" w:eastAsiaTheme="minorEastAsia" w:hAnsi="Times New Roman" w:cs="Times New Roman"/>
          <w:sz w:val="24"/>
          <w:szCs w:val="24"/>
          <w:lang w:val="es-ES_tradnl" w:eastAsia="es-CL"/>
        </w:rPr>
      </w:pPr>
      <w:r>
        <w:rPr>
          <w:rFonts w:ascii="Times New Roman" w:eastAsiaTheme="minorEastAsia" w:hAnsi="Times New Roman" w:cs="Times New Roman"/>
          <w:sz w:val="24"/>
          <w:szCs w:val="24"/>
          <w:lang w:val="es-ES_tradnl" w:eastAsia="es-CL"/>
        </w:rPr>
        <w:t>-Comprender la explicación de la relación de “causalidad”.</w:t>
      </w:r>
    </w:p>
    <w:p w:rsidR="00483E35" w:rsidRDefault="00483E35" w:rsidP="00E20D3F">
      <w:pPr>
        <w:widowControl w:val="0"/>
        <w:autoSpaceDE w:val="0"/>
        <w:autoSpaceDN w:val="0"/>
        <w:adjustRightInd w:val="0"/>
        <w:spacing w:after="0" w:line="240" w:lineRule="auto"/>
        <w:ind w:left="720" w:hanging="360"/>
        <w:jc w:val="both"/>
        <w:rPr>
          <w:rFonts w:ascii="Times New Roman" w:eastAsiaTheme="minorEastAsia" w:hAnsi="Times New Roman" w:cs="Times New Roman"/>
          <w:sz w:val="24"/>
          <w:szCs w:val="24"/>
          <w:lang w:val="es-ES_tradnl" w:eastAsia="es-CL"/>
        </w:rPr>
      </w:pPr>
      <w:r>
        <w:rPr>
          <w:rFonts w:ascii="Times New Roman" w:eastAsiaTheme="minorEastAsia" w:hAnsi="Times New Roman" w:cs="Times New Roman"/>
          <w:sz w:val="24"/>
          <w:szCs w:val="24"/>
          <w:lang w:val="es-ES_tradnl" w:eastAsia="es-CL"/>
        </w:rPr>
        <w:t>- Comprender las determinaciones de “tiempo”, “espacio” y “existencia”.</w:t>
      </w:r>
    </w:p>
    <w:p w:rsidR="00483E35" w:rsidRPr="00E20D3F" w:rsidRDefault="00483E35" w:rsidP="00E20D3F">
      <w:pPr>
        <w:widowControl w:val="0"/>
        <w:autoSpaceDE w:val="0"/>
        <w:autoSpaceDN w:val="0"/>
        <w:adjustRightInd w:val="0"/>
        <w:spacing w:after="0" w:line="240" w:lineRule="auto"/>
        <w:ind w:left="720" w:hanging="360"/>
        <w:jc w:val="both"/>
        <w:rPr>
          <w:rFonts w:ascii="Times New Roman" w:eastAsiaTheme="minorEastAsia" w:hAnsi="Times New Roman" w:cs="Times New Roman"/>
          <w:sz w:val="24"/>
          <w:szCs w:val="24"/>
          <w:lang w:val="es-ES_tradnl" w:eastAsia="es-CL"/>
        </w:rPr>
      </w:pPr>
      <w:r>
        <w:rPr>
          <w:rFonts w:ascii="Times New Roman" w:eastAsiaTheme="minorEastAsia" w:hAnsi="Times New Roman" w:cs="Times New Roman"/>
          <w:sz w:val="24"/>
          <w:szCs w:val="24"/>
          <w:lang w:val="es-ES_tradnl" w:eastAsia="es-CL"/>
        </w:rPr>
        <w:t>-Comprender el problema de la “identidad personal”.</w:t>
      </w:r>
    </w:p>
    <w:p w:rsidR="00E20D3F" w:rsidRPr="00E20D3F" w:rsidRDefault="00E20D3F" w:rsidP="00E20D3F">
      <w:pPr>
        <w:widowControl w:val="0"/>
        <w:autoSpaceDE w:val="0"/>
        <w:autoSpaceDN w:val="0"/>
        <w:adjustRightInd w:val="0"/>
        <w:spacing w:after="0" w:line="240" w:lineRule="auto"/>
        <w:ind w:left="360"/>
        <w:rPr>
          <w:rFonts w:ascii="Times New Roman" w:eastAsiaTheme="minorEastAsia" w:hAnsi="Times New Roman" w:cs="Times New Roman"/>
          <w:sz w:val="24"/>
          <w:szCs w:val="24"/>
          <w:lang w:val="es-ES_tradnl" w:eastAsia="es-CL"/>
        </w:rPr>
      </w:pPr>
    </w:p>
    <w:p w:rsidR="00E20D3F" w:rsidRDefault="00E20D3F" w:rsidP="00E20D3F">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CL"/>
        </w:rPr>
      </w:pPr>
    </w:p>
    <w:p w:rsidR="00163145" w:rsidRDefault="00163145" w:rsidP="00E20D3F">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CL"/>
        </w:rPr>
      </w:pPr>
    </w:p>
    <w:p w:rsidR="00163145" w:rsidRDefault="00163145" w:rsidP="00E20D3F">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CL"/>
        </w:rPr>
      </w:pPr>
    </w:p>
    <w:p w:rsidR="00163145" w:rsidRPr="00E20D3F" w:rsidRDefault="00163145" w:rsidP="00E20D3F">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CL"/>
        </w:rPr>
      </w:pPr>
    </w:p>
    <w:p w:rsidR="00E20D3F" w:rsidRPr="00E20D3F" w:rsidRDefault="00E20D3F" w:rsidP="00E20D3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es-ES_tradnl" w:eastAsia="es-CL"/>
        </w:rPr>
      </w:pPr>
    </w:p>
    <w:p w:rsidR="00E20D3F" w:rsidRPr="00E20D3F" w:rsidRDefault="00E20D3F" w:rsidP="00E20D3F">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val="es-ES_tradnl" w:eastAsia="es-CL"/>
        </w:rPr>
      </w:pPr>
      <w:r w:rsidRPr="00E20D3F">
        <w:rPr>
          <w:rFonts w:ascii="Times New Roman" w:eastAsiaTheme="minorEastAsia" w:hAnsi="Times New Roman" w:cs="Times New Roman"/>
          <w:sz w:val="24"/>
          <w:szCs w:val="24"/>
          <w:lang w:val="es-ES_tradnl" w:eastAsia="es-CL"/>
        </w:rPr>
        <w:lastRenderedPageBreak/>
        <w:t>4. CONTENIDOS</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b/>
          <w:sz w:val="24"/>
          <w:szCs w:val="24"/>
        </w:rPr>
        <w:t xml:space="preserve">PRIMERA UNIDAD: </w:t>
      </w:r>
      <w:r w:rsidRPr="00E20D3F">
        <w:rPr>
          <w:rFonts w:ascii="Times New Roman" w:hAnsi="Times New Roman" w:cs="Times New Roman"/>
          <w:sz w:val="24"/>
          <w:szCs w:val="24"/>
        </w:rPr>
        <w:t>Introducción.</w:t>
      </w:r>
    </w:p>
    <w:p w:rsidR="00E20D3F" w:rsidRPr="00E20D3F" w:rsidRDefault="00E20D3F" w:rsidP="00E20D3F">
      <w:pPr>
        <w:rPr>
          <w:rFonts w:ascii="Times New Roman" w:hAnsi="Times New Roman" w:cs="Times New Roman"/>
          <w:i/>
          <w:sz w:val="24"/>
          <w:szCs w:val="24"/>
        </w:rPr>
      </w:pPr>
      <w:r w:rsidRPr="00E20D3F">
        <w:rPr>
          <w:rFonts w:ascii="Times New Roman" w:hAnsi="Times New Roman" w:cs="Times New Roman"/>
          <w:i/>
          <w:sz w:val="24"/>
          <w:szCs w:val="24"/>
        </w:rPr>
        <w:t>I. Aspectos generales.</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a) Relevancia del pensamiento de Hume.</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b) Aspectos biográficos relevantes.</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c) Discusión bibliográfica.</w:t>
      </w:r>
    </w:p>
    <w:p w:rsidR="00E20D3F" w:rsidRPr="00E20D3F" w:rsidRDefault="00E20D3F" w:rsidP="00E20D3F">
      <w:pPr>
        <w:rPr>
          <w:rFonts w:ascii="Times New Roman" w:hAnsi="Times New Roman" w:cs="Times New Roman"/>
          <w:i/>
          <w:sz w:val="24"/>
          <w:szCs w:val="24"/>
        </w:rPr>
      </w:pPr>
      <w:r w:rsidRPr="00E20D3F">
        <w:rPr>
          <w:rFonts w:ascii="Times New Roman" w:hAnsi="Times New Roman" w:cs="Times New Roman"/>
          <w:i/>
          <w:sz w:val="24"/>
          <w:szCs w:val="24"/>
        </w:rPr>
        <w:t>II. Caracterización de la “Filosofía” desde la perspectiva de Hume.</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a) Relación entre filosofía y vida humana.</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b) La filosofía como “filosofía moral”.</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c) La filosofía como “ciencia de la naturaleza humana”.</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d) El escepticismo humeano.</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e) Alcances acerca del “método experimental”.</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III. Sinopsis del sistema según el “Abstract” y notas sobre la economía del curso (límites y organización).</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BIBLIOGRAFÍA DE LA UNIDAD</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A. Principal</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DAVID HUME. “My Own life” y “A kind of a History of my Life”. En</w:t>
      </w:r>
      <w:r w:rsidRPr="00E20D3F">
        <w:rPr>
          <w:rFonts w:ascii="Times New Roman" w:hAnsi="Times New Roman" w:cs="Times New Roman"/>
          <w:i/>
          <w:sz w:val="24"/>
          <w:szCs w:val="24"/>
          <w:lang w:val="en-US"/>
        </w:rPr>
        <w:t>: The Cambridge Companion to Hume</w:t>
      </w:r>
      <w:r w:rsidRPr="00E20D3F">
        <w:rPr>
          <w:rFonts w:ascii="Times New Roman" w:hAnsi="Times New Roman" w:cs="Times New Roman"/>
          <w:sz w:val="24"/>
          <w:szCs w:val="24"/>
          <w:lang w:val="en-US"/>
        </w:rPr>
        <w:t>. New York: Cambridge University Press, 2009. (p.515-522)</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lang w:val="en-US"/>
        </w:rPr>
        <w:t>_________.</w:t>
      </w:r>
      <w:r w:rsidRPr="00E20D3F">
        <w:rPr>
          <w:rFonts w:ascii="Times New Roman" w:hAnsi="Times New Roman" w:cs="Times New Roman"/>
          <w:i/>
          <w:sz w:val="24"/>
          <w:szCs w:val="24"/>
          <w:lang w:val="en-US"/>
        </w:rPr>
        <w:t xml:space="preserve"> A Tratise of de Human Nature </w:t>
      </w:r>
      <w:r w:rsidRPr="00E20D3F">
        <w:rPr>
          <w:rFonts w:ascii="Times New Roman" w:hAnsi="Times New Roman" w:cs="Times New Roman"/>
          <w:sz w:val="24"/>
          <w:szCs w:val="24"/>
          <w:lang w:val="en-US"/>
        </w:rPr>
        <w:t xml:space="preserve">(T). Ed. D. F. Norton and M.J. Norton. </w:t>
      </w:r>
      <w:r w:rsidRPr="00E20D3F">
        <w:rPr>
          <w:rFonts w:ascii="Times New Roman" w:hAnsi="Times New Roman" w:cs="Times New Roman"/>
          <w:sz w:val="24"/>
          <w:szCs w:val="24"/>
        </w:rPr>
        <w:t>Oxford: Clarendon Press. 2011. (Introduction, SB. xiii-xix</w:t>
      </w:r>
      <w:r w:rsidRPr="00E20D3F">
        <w:rPr>
          <w:rStyle w:val="Refdenotaalpie"/>
          <w:rFonts w:ascii="Times New Roman" w:hAnsi="Times New Roman" w:cs="Times New Roman"/>
          <w:sz w:val="24"/>
          <w:szCs w:val="24"/>
        </w:rPr>
        <w:footnoteReference w:id="1"/>
      </w:r>
      <w:r w:rsidRPr="00E20D3F">
        <w:rPr>
          <w:rFonts w:ascii="Times New Roman" w:hAnsi="Times New Roman" w:cs="Times New Roman"/>
          <w:sz w:val="24"/>
          <w:szCs w:val="24"/>
        </w:rPr>
        <w:t>; En esta edición el “Abstract” aparece al final, SB. 645-662, así como “Letter from a Gentleman”, p.420-431)</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________.</w:t>
      </w:r>
      <w:r w:rsidRPr="00E20D3F">
        <w:rPr>
          <w:rFonts w:ascii="Times New Roman" w:hAnsi="Times New Roman" w:cs="Times New Roman"/>
          <w:i/>
          <w:sz w:val="24"/>
          <w:szCs w:val="24"/>
          <w:lang w:val="en-US"/>
        </w:rPr>
        <w:t xml:space="preserve"> “</w:t>
      </w:r>
      <w:r w:rsidRPr="00E20D3F">
        <w:rPr>
          <w:rFonts w:ascii="Times New Roman" w:hAnsi="Times New Roman" w:cs="Times New Roman"/>
          <w:sz w:val="24"/>
          <w:szCs w:val="24"/>
          <w:lang w:val="en-US"/>
        </w:rPr>
        <w:t xml:space="preserve">Enquiry concerning human understanding” (EHU) en: </w:t>
      </w:r>
      <w:r w:rsidRPr="00E20D3F">
        <w:rPr>
          <w:rFonts w:ascii="Times New Roman" w:hAnsi="Times New Roman" w:cs="Times New Roman"/>
          <w:i/>
          <w:sz w:val="24"/>
          <w:szCs w:val="24"/>
          <w:lang w:val="en-US"/>
        </w:rPr>
        <w:t>The Philosophical Works</w:t>
      </w:r>
      <w:r w:rsidRPr="00E20D3F">
        <w:rPr>
          <w:rFonts w:ascii="Times New Roman" w:hAnsi="Times New Roman" w:cs="Times New Roman"/>
          <w:sz w:val="24"/>
          <w:szCs w:val="24"/>
          <w:lang w:val="en-US"/>
        </w:rPr>
        <w:t xml:space="preserve"> (cuatro volúmenes). Ed. T.H. Green and T.H. Grose. London: Longman, 1882-6; reimpreso en  Darmstadt: Scientia Verlag Aalen, 1964. (p.3-13</w:t>
      </w:r>
      <w:r w:rsidRPr="00E20D3F">
        <w:rPr>
          <w:rStyle w:val="Refdenotaalpie"/>
          <w:rFonts w:ascii="Times New Roman" w:hAnsi="Times New Roman" w:cs="Times New Roman"/>
          <w:sz w:val="24"/>
          <w:szCs w:val="24"/>
          <w:lang w:val="en-US"/>
        </w:rPr>
        <w:footnoteReference w:id="2"/>
      </w:r>
      <w:r w:rsidRPr="00E20D3F">
        <w:rPr>
          <w:rFonts w:ascii="Times New Roman" w:hAnsi="Times New Roman" w:cs="Times New Roman"/>
          <w:sz w:val="24"/>
          <w:szCs w:val="24"/>
          <w:lang w:val="en-US"/>
        </w:rPr>
        <w:t>).</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B. Secundaria.</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lastRenderedPageBreak/>
        <w:t xml:space="preserve">MOSSNER, Ernst C. </w:t>
      </w:r>
      <w:r w:rsidRPr="00E20D3F">
        <w:rPr>
          <w:rFonts w:ascii="Times New Roman" w:hAnsi="Times New Roman" w:cs="Times New Roman"/>
          <w:i/>
          <w:sz w:val="24"/>
          <w:szCs w:val="24"/>
          <w:lang w:val="en-US"/>
        </w:rPr>
        <w:t>The life of David Hume</w:t>
      </w:r>
      <w:r w:rsidRPr="00E20D3F">
        <w:rPr>
          <w:rFonts w:ascii="Times New Roman" w:hAnsi="Times New Roman" w:cs="Times New Roman"/>
          <w:sz w:val="24"/>
          <w:szCs w:val="24"/>
          <w:lang w:val="en-US"/>
        </w:rPr>
        <w:t>. Edinbugh: Nelson, 1954.</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HENDEL, CHARLES</w:t>
      </w:r>
      <w:r w:rsidRPr="00E20D3F">
        <w:rPr>
          <w:rFonts w:ascii="Times New Roman" w:hAnsi="Times New Roman" w:cs="Times New Roman"/>
          <w:i/>
          <w:sz w:val="24"/>
          <w:szCs w:val="24"/>
          <w:lang w:val="en-US"/>
        </w:rPr>
        <w:t>. Studies in the Philosophy of David Hume.</w:t>
      </w:r>
      <w:r w:rsidRPr="00E20D3F">
        <w:rPr>
          <w:rFonts w:ascii="Times New Roman" w:hAnsi="Times New Roman" w:cs="Times New Roman"/>
          <w:sz w:val="24"/>
          <w:szCs w:val="24"/>
          <w:lang w:val="en-US"/>
        </w:rPr>
        <w:t xml:space="preserve"> New York: The Bobbs Merril co.,1963 (Dos capítulos son recomedables: “I. The Ambitions and Concerns of a Lifetime”, p.3-12, y “II. The Youth´s Discovery”)</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 xml:space="preserve">KEMP SMITH, NORMAN. </w:t>
      </w:r>
      <w:r w:rsidRPr="00E20D3F">
        <w:rPr>
          <w:rFonts w:ascii="Times New Roman" w:hAnsi="Times New Roman" w:cs="Times New Roman"/>
          <w:i/>
          <w:sz w:val="24"/>
          <w:szCs w:val="24"/>
          <w:lang w:val="en-US"/>
        </w:rPr>
        <w:t>The philosophy of David Hume : a critical study of its origins and central doctrines</w:t>
      </w:r>
      <w:r w:rsidRPr="00E20D3F">
        <w:rPr>
          <w:rFonts w:ascii="Times New Roman" w:hAnsi="Times New Roman" w:cs="Times New Roman"/>
          <w:sz w:val="24"/>
          <w:szCs w:val="24"/>
          <w:lang w:val="en-US"/>
        </w:rPr>
        <w:t xml:space="preserve">. </w:t>
      </w:r>
      <w:r w:rsidRPr="00E20D3F">
        <w:rPr>
          <w:rFonts w:ascii="Times New Roman" w:hAnsi="Times New Roman" w:cs="Times New Roman"/>
          <w:sz w:val="24"/>
          <w:szCs w:val="24"/>
        </w:rPr>
        <w:t xml:space="preserve">London : Macmillan and Co. Ltd, 1964 (notable comentario acerca del “Tratado”. Para esclarecer el punto de la influencias en el pensamiento de Hume, capítulos “II. </w:t>
      </w:r>
      <w:r w:rsidRPr="00E20D3F">
        <w:rPr>
          <w:rFonts w:ascii="Times New Roman" w:hAnsi="Times New Roman" w:cs="Times New Roman"/>
          <w:sz w:val="24"/>
          <w:szCs w:val="24"/>
          <w:lang w:val="en-US"/>
        </w:rPr>
        <w:t>Hutcheson´s Teaching and its Influence in Hume” y “III. The Influence of Newton and Locke”).</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 xml:space="preserve">BIRO, JOHN. “Hume´s New Science of the Mind”, en: </w:t>
      </w:r>
      <w:r w:rsidRPr="00E20D3F">
        <w:rPr>
          <w:rFonts w:ascii="Times New Roman" w:hAnsi="Times New Roman" w:cs="Times New Roman"/>
          <w:i/>
          <w:sz w:val="24"/>
          <w:szCs w:val="24"/>
          <w:lang w:val="en-US"/>
        </w:rPr>
        <w:t>The Cambridge Companion</w:t>
      </w:r>
      <w:r w:rsidRPr="00E20D3F">
        <w:rPr>
          <w:rFonts w:ascii="Times New Roman" w:hAnsi="Times New Roman" w:cs="Times New Roman"/>
          <w:sz w:val="24"/>
          <w:szCs w:val="24"/>
          <w:lang w:val="en-US"/>
        </w:rPr>
        <w:t>. (David Fate Norton and Jacqueline  Taylor (ed),New York: Cambridge University Press, 2009. (p.40-70).</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SCHLIESSER, ERIC. "Hume's Newtonianism and Anti-Newtonianism", </w:t>
      </w:r>
      <w:r w:rsidRPr="00E20D3F">
        <w:rPr>
          <w:rFonts w:ascii="Times New Roman" w:hAnsi="Times New Roman" w:cs="Times New Roman"/>
          <w:i/>
          <w:iCs/>
          <w:sz w:val="24"/>
          <w:szCs w:val="24"/>
          <w:lang w:val="en-US"/>
        </w:rPr>
        <w:t>The Stanford Encyclopedia of Philosophy (Winter 2008 Edition)</w:t>
      </w:r>
      <w:r w:rsidRPr="00E20D3F">
        <w:rPr>
          <w:rFonts w:ascii="Times New Roman" w:hAnsi="Times New Roman" w:cs="Times New Roman"/>
          <w:sz w:val="24"/>
          <w:szCs w:val="24"/>
          <w:lang w:val="en-US"/>
        </w:rPr>
        <w:t>, Edward N. Zalta (ed.), URL = &lt;http://plato.stanford.edu/archives/win2008/entries/hume-newton/&gt;.</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b/>
          <w:sz w:val="24"/>
          <w:szCs w:val="24"/>
        </w:rPr>
        <w:t>SEGUNDA UNIDAD:</w:t>
      </w:r>
      <w:r w:rsidRPr="00E20D3F">
        <w:rPr>
          <w:rFonts w:ascii="Times New Roman" w:hAnsi="Times New Roman" w:cs="Times New Roman"/>
          <w:sz w:val="24"/>
          <w:szCs w:val="24"/>
        </w:rPr>
        <w:t xml:space="preserve"> Sobre las ideas y su origen.</w:t>
      </w:r>
    </w:p>
    <w:p w:rsidR="00E20D3F" w:rsidRPr="00E20D3F" w:rsidRDefault="00E20D3F" w:rsidP="00E20D3F">
      <w:pPr>
        <w:jc w:val="both"/>
        <w:rPr>
          <w:rFonts w:ascii="Times New Roman" w:hAnsi="Times New Roman" w:cs="Times New Roman"/>
          <w:i/>
          <w:sz w:val="24"/>
          <w:szCs w:val="24"/>
        </w:rPr>
      </w:pPr>
      <w:r w:rsidRPr="00E20D3F">
        <w:rPr>
          <w:rFonts w:ascii="Times New Roman" w:hAnsi="Times New Roman" w:cs="Times New Roman"/>
          <w:sz w:val="24"/>
          <w:szCs w:val="24"/>
        </w:rPr>
        <w:t xml:space="preserve">I. </w:t>
      </w:r>
      <w:r w:rsidRPr="00E20D3F">
        <w:rPr>
          <w:rFonts w:ascii="Times New Roman" w:hAnsi="Times New Roman" w:cs="Times New Roman"/>
          <w:i/>
          <w:sz w:val="24"/>
          <w:szCs w:val="24"/>
        </w:rPr>
        <w:t>Presentación de la estructura general  y el carácter de la primera parte del libro primero. Indicación en su método de exposición (bosquejo general del tratado completo).</w:t>
      </w:r>
    </w:p>
    <w:p w:rsidR="00E20D3F" w:rsidRPr="00E20D3F" w:rsidRDefault="00E20D3F" w:rsidP="00E20D3F">
      <w:pPr>
        <w:jc w:val="both"/>
        <w:rPr>
          <w:rFonts w:ascii="Times New Roman" w:hAnsi="Times New Roman" w:cs="Times New Roman"/>
          <w:i/>
          <w:sz w:val="24"/>
          <w:szCs w:val="24"/>
        </w:rPr>
      </w:pPr>
      <w:r w:rsidRPr="00E20D3F">
        <w:rPr>
          <w:rFonts w:ascii="Times New Roman" w:hAnsi="Times New Roman" w:cs="Times New Roman"/>
          <w:i/>
          <w:sz w:val="24"/>
          <w:szCs w:val="24"/>
        </w:rPr>
        <w:t>II “Geografía” de nuestras percepciones.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a) División de las percepciones entre “ideas”  e “impresiones”. Primer principio del tratado.</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 División de las percepciones entre “simples” y “complejas”. Segundo principio del tratado.</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c) División de las percepciones entre “sensibles” y de “reflexión”.</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d) Diferencia entre “ideas” de la memoria y de la imaginación. El doble criterio de la diferenciación.</w:t>
      </w:r>
    </w:p>
    <w:p w:rsidR="00E20D3F" w:rsidRPr="00E20D3F" w:rsidRDefault="00E20D3F" w:rsidP="00E20D3F">
      <w:pPr>
        <w:jc w:val="both"/>
        <w:rPr>
          <w:rFonts w:ascii="Times New Roman" w:hAnsi="Times New Roman" w:cs="Times New Roman"/>
          <w:i/>
          <w:sz w:val="24"/>
          <w:szCs w:val="24"/>
        </w:rPr>
      </w:pPr>
      <w:r w:rsidRPr="00E20D3F">
        <w:rPr>
          <w:rFonts w:ascii="Times New Roman" w:hAnsi="Times New Roman" w:cs="Times New Roman"/>
          <w:i/>
          <w:sz w:val="24"/>
          <w:szCs w:val="24"/>
        </w:rPr>
        <w:t>III. Ideas complejas de la imaginación.</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a) Principios de asociación (relaciones naturales)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 Ideas complejas de relación (relaciones filosóficas).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c) Ideas complejas de “substancia” y “modo”.</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d) Ideas complejas “generales” y la “distinción de razón”.</w:t>
      </w:r>
    </w:p>
    <w:p w:rsidR="00E20D3F" w:rsidRPr="00E20D3F" w:rsidRDefault="00E20D3F" w:rsidP="00E20D3F">
      <w:pPr>
        <w:jc w:val="both"/>
        <w:rPr>
          <w:rFonts w:ascii="Times New Roman" w:hAnsi="Times New Roman" w:cs="Times New Roman"/>
          <w:i/>
          <w:sz w:val="24"/>
          <w:szCs w:val="24"/>
        </w:rPr>
      </w:pPr>
      <w:r w:rsidRPr="00E20D3F">
        <w:rPr>
          <w:rFonts w:ascii="Times New Roman" w:hAnsi="Times New Roman" w:cs="Times New Roman"/>
          <w:i/>
          <w:sz w:val="24"/>
          <w:szCs w:val="24"/>
        </w:rPr>
        <w:lastRenderedPageBreak/>
        <w:t>IV. Aspectos problemáticos de esta parte</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i/>
          <w:sz w:val="24"/>
          <w:szCs w:val="24"/>
        </w:rPr>
        <w:t>-</w:t>
      </w:r>
      <w:r w:rsidRPr="00E20D3F">
        <w:rPr>
          <w:rFonts w:ascii="Times New Roman" w:hAnsi="Times New Roman" w:cs="Times New Roman"/>
          <w:sz w:val="24"/>
          <w:szCs w:val="24"/>
        </w:rPr>
        <w:t>El problema de la “impresiones simples”.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El principio de copia como explicación para todas nuestras “ideas”.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El problema en la explicación de la génesis de nuestras ideas abstractas y la “distinción de razón”.</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xml:space="preserve"> BIBLIOGRAFIA DE LA UNIDAD</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A. Principal.</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 xml:space="preserve">DAVID HUME. </w:t>
      </w:r>
      <w:r w:rsidRPr="00E20D3F">
        <w:rPr>
          <w:rFonts w:ascii="Times New Roman" w:hAnsi="Times New Roman" w:cs="Times New Roman"/>
          <w:i/>
          <w:sz w:val="24"/>
          <w:szCs w:val="24"/>
          <w:lang w:val="en-US"/>
        </w:rPr>
        <w:t>A Tratise of de Human Nature</w:t>
      </w:r>
      <w:r w:rsidRPr="00E20D3F">
        <w:rPr>
          <w:rFonts w:ascii="Times New Roman" w:hAnsi="Times New Roman" w:cs="Times New Roman"/>
          <w:sz w:val="24"/>
          <w:szCs w:val="24"/>
          <w:lang w:val="en-US"/>
        </w:rPr>
        <w:t>. Ed. D. F. Norton and M.J. Norton. Oxford: Clarendon Press. 2011. (Book I, Part 1; S.B 1-25)</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________.</w:t>
      </w:r>
      <w:r w:rsidRPr="00E20D3F">
        <w:rPr>
          <w:rFonts w:ascii="Times New Roman" w:hAnsi="Times New Roman" w:cs="Times New Roman"/>
          <w:i/>
          <w:sz w:val="24"/>
          <w:szCs w:val="24"/>
          <w:lang w:val="en-US"/>
        </w:rPr>
        <w:t>“</w:t>
      </w:r>
      <w:r w:rsidRPr="00E20D3F">
        <w:rPr>
          <w:rFonts w:ascii="Times New Roman" w:hAnsi="Times New Roman" w:cs="Times New Roman"/>
          <w:sz w:val="24"/>
          <w:szCs w:val="24"/>
          <w:lang w:val="en-US"/>
        </w:rPr>
        <w:t>Enquiry concerning human understanding” (EHU) en:</w:t>
      </w:r>
      <w:r w:rsidRPr="00E20D3F">
        <w:rPr>
          <w:rFonts w:ascii="Times New Roman" w:hAnsi="Times New Roman" w:cs="Times New Roman"/>
          <w:i/>
          <w:sz w:val="24"/>
          <w:szCs w:val="24"/>
          <w:lang w:val="en-US"/>
        </w:rPr>
        <w:t xml:space="preserve"> The Philosophical Works</w:t>
      </w:r>
      <w:r w:rsidRPr="00E20D3F">
        <w:rPr>
          <w:rFonts w:ascii="Times New Roman" w:hAnsi="Times New Roman" w:cs="Times New Roman"/>
          <w:sz w:val="24"/>
          <w:szCs w:val="24"/>
          <w:lang w:val="en-US"/>
        </w:rPr>
        <w:t xml:space="preserve"> (cuatro volúmenes). Ed. T.H. Green and T.H. Grose. London: Longman, 1882-6; reimpreso en  Darmstadt: Scientia Verlag Aalen, 1964. (II-III, 13-20).</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B. Secundaria.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lang w:val="en-US"/>
        </w:rPr>
        <w:t xml:space="preserve">OWEN, DAVID. “Hume Mechanics of Mind: Impressions, Ideas and Association”, en: </w:t>
      </w:r>
      <w:r w:rsidRPr="00E20D3F">
        <w:rPr>
          <w:rFonts w:ascii="Times New Roman" w:hAnsi="Times New Roman" w:cs="Times New Roman"/>
          <w:i/>
          <w:sz w:val="24"/>
          <w:szCs w:val="24"/>
          <w:lang w:val="en-US"/>
        </w:rPr>
        <w:t>The Cambridge Companion</w:t>
      </w:r>
      <w:r w:rsidRPr="00E20D3F">
        <w:rPr>
          <w:rFonts w:ascii="Times New Roman" w:hAnsi="Times New Roman" w:cs="Times New Roman"/>
          <w:sz w:val="24"/>
          <w:szCs w:val="24"/>
          <w:lang w:val="en-US"/>
        </w:rPr>
        <w:t xml:space="preserve">. (David Fate Norton and Jacqueline  Taylor (ed),New York: Cambridge University Press, 2009. </w:t>
      </w:r>
      <w:r w:rsidRPr="00E20D3F">
        <w:rPr>
          <w:rFonts w:ascii="Times New Roman" w:hAnsi="Times New Roman" w:cs="Times New Roman"/>
          <w:sz w:val="24"/>
          <w:szCs w:val="24"/>
        </w:rPr>
        <w:t>(p.70-105).</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xml:space="preserve">LEROY, ANDRÉ-LUIS. </w:t>
      </w:r>
      <w:r w:rsidRPr="00E20D3F">
        <w:rPr>
          <w:rFonts w:ascii="Times New Roman" w:hAnsi="Times New Roman" w:cs="Times New Roman"/>
          <w:i/>
          <w:sz w:val="24"/>
          <w:szCs w:val="24"/>
        </w:rPr>
        <w:t xml:space="preserve">David Hume, </w:t>
      </w:r>
      <w:r w:rsidRPr="00E20D3F">
        <w:rPr>
          <w:rFonts w:ascii="Times New Roman" w:hAnsi="Times New Roman" w:cs="Times New Roman"/>
          <w:sz w:val="24"/>
          <w:szCs w:val="24"/>
        </w:rPr>
        <w:t>Paris: Presse Universitaires de France, 1953 (presentación didáctica del asunto en capítulo 1 y 2, p.29-64)</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lang w:val="en-US"/>
        </w:rPr>
        <w:t xml:space="preserve">KEMP SMITH, NORMAN. </w:t>
      </w:r>
      <w:r w:rsidRPr="00E20D3F">
        <w:rPr>
          <w:rFonts w:ascii="Times New Roman" w:hAnsi="Times New Roman" w:cs="Times New Roman"/>
          <w:i/>
          <w:sz w:val="24"/>
          <w:szCs w:val="24"/>
          <w:lang w:val="en-US"/>
        </w:rPr>
        <w:t>The philosophy of David Hume : a critical study of its origins and central doctrines</w:t>
      </w:r>
      <w:r w:rsidRPr="00E20D3F">
        <w:rPr>
          <w:rFonts w:ascii="Times New Roman" w:hAnsi="Times New Roman" w:cs="Times New Roman"/>
          <w:sz w:val="24"/>
          <w:szCs w:val="24"/>
          <w:lang w:val="en-US"/>
        </w:rPr>
        <w:t xml:space="preserve">. </w:t>
      </w:r>
      <w:r w:rsidRPr="00E20D3F">
        <w:rPr>
          <w:rFonts w:ascii="Times New Roman" w:hAnsi="Times New Roman" w:cs="Times New Roman"/>
          <w:sz w:val="24"/>
          <w:szCs w:val="24"/>
        </w:rPr>
        <w:t>London : Macmillan and Co. Ltd, 1964. (Capítulos X a XIII, p.205-273)</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b/>
          <w:sz w:val="24"/>
          <w:szCs w:val="24"/>
        </w:rPr>
        <w:t>TERECERA UNIDAD:</w:t>
      </w:r>
      <w:r w:rsidRPr="00E20D3F">
        <w:rPr>
          <w:rFonts w:ascii="Times New Roman" w:hAnsi="Times New Roman" w:cs="Times New Roman"/>
          <w:sz w:val="24"/>
          <w:szCs w:val="24"/>
        </w:rPr>
        <w:t xml:space="preserve"> La idea de causalidad (1° PARTE)</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xml:space="preserve">I. </w:t>
      </w:r>
      <w:r w:rsidRPr="00E20D3F">
        <w:rPr>
          <w:rFonts w:ascii="Times New Roman" w:hAnsi="Times New Roman" w:cs="Times New Roman"/>
          <w:i/>
          <w:sz w:val="24"/>
          <w:szCs w:val="24"/>
        </w:rPr>
        <w:t>Presentación de la estructura general  y el carácter de la tercera parte del libro primero. Indicación en su método de exposición.</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xml:space="preserve">II. </w:t>
      </w:r>
      <w:r w:rsidRPr="00E20D3F">
        <w:rPr>
          <w:rFonts w:ascii="Times New Roman" w:hAnsi="Times New Roman" w:cs="Times New Roman"/>
          <w:i/>
          <w:sz w:val="24"/>
          <w:szCs w:val="24"/>
        </w:rPr>
        <w:t>Conocimiento y probabilidad.</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xml:space="preserve">a) Presentación del asunto en </w:t>
      </w:r>
      <w:r w:rsidRPr="00E20D3F">
        <w:rPr>
          <w:rFonts w:ascii="Times New Roman" w:hAnsi="Times New Roman" w:cs="Times New Roman"/>
          <w:i/>
          <w:sz w:val="24"/>
          <w:szCs w:val="24"/>
        </w:rPr>
        <w:t>EHU</w:t>
      </w:r>
      <w:r w:rsidRPr="00E20D3F">
        <w:rPr>
          <w:rFonts w:ascii="Times New Roman" w:hAnsi="Times New Roman" w:cs="Times New Roman"/>
          <w:sz w:val="24"/>
          <w:szCs w:val="24"/>
        </w:rPr>
        <w:t>: cuestiones de hecho y relaciones entre ideas.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xml:space="preserve">b) Presentación del asunto en </w:t>
      </w:r>
      <w:r w:rsidRPr="00E20D3F">
        <w:rPr>
          <w:rFonts w:ascii="Times New Roman" w:hAnsi="Times New Roman" w:cs="Times New Roman"/>
          <w:i/>
          <w:sz w:val="24"/>
          <w:szCs w:val="24"/>
        </w:rPr>
        <w:t>THN</w:t>
      </w:r>
      <w:r w:rsidRPr="00E20D3F">
        <w:rPr>
          <w:rFonts w:ascii="Times New Roman" w:hAnsi="Times New Roman" w:cs="Times New Roman"/>
          <w:sz w:val="24"/>
          <w:szCs w:val="24"/>
        </w:rPr>
        <w:t>: los dos conjuntos de relaciones filosóficas, la distribución de los razonamientos y la relevancia de la relación de causalidad.</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c) Del conocimiento en sentido estricto.</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lastRenderedPageBreak/>
        <w:t>III</w:t>
      </w:r>
      <w:r w:rsidRPr="00E20D3F">
        <w:rPr>
          <w:rFonts w:ascii="Times New Roman" w:hAnsi="Times New Roman" w:cs="Times New Roman"/>
          <w:i/>
          <w:sz w:val="24"/>
          <w:szCs w:val="24"/>
        </w:rPr>
        <w:t>. Idea de causalidad</w:t>
      </w:r>
      <w:r w:rsidRPr="00E20D3F">
        <w:rPr>
          <w:rFonts w:ascii="Times New Roman" w:hAnsi="Times New Roman" w:cs="Times New Roman"/>
          <w:sz w:val="24"/>
          <w:szCs w:val="24"/>
        </w:rPr>
        <w:t>.</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a) Alcances preparativos acerca de la cuestión.</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 Análisis de los componentes de la relación filosófica de causalidad (contigüidad, sucesión y conjunción constante).</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b/>
          <w:sz w:val="24"/>
          <w:szCs w:val="24"/>
        </w:rPr>
        <w:t>CUARTA UNIDAD:</w:t>
      </w:r>
      <w:r w:rsidRPr="00E20D3F">
        <w:rPr>
          <w:rFonts w:ascii="Times New Roman" w:hAnsi="Times New Roman" w:cs="Times New Roman"/>
          <w:sz w:val="24"/>
          <w:szCs w:val="24"/>
        </w:rPr>
        <w:t xml:space="preserve"> La idea de causalidad (2° PARTE)</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c) La idea de causalidad desde el punto de vista de su naturaleza: la creencia.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xml:space="preserve">d) Los distintos grados del “conocimiento”. </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e) La probabilidad del “azar” como base explicativa. Probabilidad de las causas (filosófica y no filosófica.)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f) Conexión necesaria y la doble definición de la idea de causalidad (filosófica y natural)</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e) Algunas reglas generales para regular los razonamientos causales.</w:t>
      </w:r>
    </w:p>
    <w:p w:rsidR="00E20D3F" w:rsidRPr="00E20D3F" w:rsidRDefault="00E20D3F" w:rsidP="00E20D3F">
      <w:pPr>
        <w:jc w:val="both"/>
        <w:rPr>
          <w:rFonts w:ascii="Times New Roman" w:hAnsi="Times New Roman" w:cs="Times New Roman"/>
          <w:i/>
          <w:sz w:val="24"/>
          <w:szCs w:val="24"/>
        </w:rPr>
      </w:pPr>
      <w:r w:rsidRPr="00E20D3F">
        <w:rPr>
          <w:rFonts w:ascii="Times New Roman" w:hAnsi="Times New Roman" w:cs="Times New Roman"/>
          <w:i/>
          <w:sz w:val="24"/>
          <w:szCs w:val="24"/>
        </w:rPr>
        <w:t>IV. La idea de libertad humana en este contexto.</w:t>
      </w:r>
    </w:p>
    <w:p w:rsidR="00E20D3F" w:rsidRPr="00E20D3F" w:rsidRDefault="00E20D3F" w:rsidP="00E20D3F">
      <w:pPr>
        <w:jc w:val="both"/>
        <w:rPr>
          <w:rFonts w:ascii="Times New Roman" w:hAnsi="Times New Roman" w:cs="Times New Roman"/>
          <w:sz w:val="24"/>
          <w:szCs w:val="24"/>
        </w:rPr>
      </w:pPr>
    </w:p>
    <w:p w:rsidR="00E20D3F" w:rsidRPr="00E20D3F" w:rsidRDefault="00E20D3F" w:rsidP="00E20D3F">
      <w:pPr>
        <w:jc w:val="both"/>
        <w:rPr>
          <w:rFonts w:ascii="Times New Roman" w:hAnsi="Times New Roman" w:cs="Times New Roman"/>
          <w:i/>
          <w:sz w:val="24"/>
          <w:szCs w:val="24"/>
        </w:rPr>
      </w:pPr>
      <w:r w:rsidRPr="00E20D3F">
        <w:rPr>
          <w:rFonts w:ascii="Times New Roman" w:hAnsi="Times New Roman" w:cs="Times New Roman"/>
          <w:i/>
          <w:sz w:val="24"/>
          <w:szCs w:val="24"/>
        </w:rPr>
        <w:t>V. Aspectos problemáticos de esta parte.</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-El problema en el orden de la exposición.</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-El problema de la inferencia.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-Las pseudo formas de creencia.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-El alcance de la explicación de la idea de causalidad en función de la creencia y el rol regulador de la experiencia y el entendimiento en la conformación de juicios “científicos”.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BIBLIOGRAFIA DE LA UNIDAD.</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A.Principal.</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 xml:space="preserve">DAVID HUME. </w:t>
      </w:r>
      <w:r w:rsidRPr="00E20D3F">
        <w:rPr>
          <w:rFonts w:ascii="Times New Roman" w:hAnsi="Times New Roman" w:cs="Times New Roman"/>
          <w:i/>
          <w:sz w:val="24"/>
          <w:szCs w:val="24"/>
          <w:lang w:val="en-US"/>
        </w:rPr>
        <w:t>A Tratise of de Human Nature</w:t>
      </w:r>
      <w:r w:rsidRPr="00E20D3F">
        <w:rPr>
          <w:rFonts w:ascii="Times New Roman" w:hAnsi="Times New Roman" w:cs="Times New Roman"/>
          <w:sz w:val="24"/>
          <w:szCs w:val="24"/>
          <w:lang w:val="en-US"/>
        </w:rPr>
        <w:t>. Ed. D. F. Norton and M.J. Norton. Oxford: Clarendon Press. 2011. (I, 3, p.S.B 70-178; II, 3, 1-3 )</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________.</w:t>
      </w:r>
      <w:r w:rsidRPr="00E20D3F">
        <w:rPr>
          <w:rFonts w:ascii="Times New Roman" w:hAnsi="Times New Roman" w:cs="Times New Roman"/>
          <w:i/>
          <w:sz w:val="24"/>
          <w:szCs w:val="24"/>
          <w:lang w:val="en-US"/>
        </w:rPr>
        <w:t>“</w:t>
      </w:r>
      <w:r w:rsidRPr="00E20D3F">
        <w:rPr>
          <w:rFonts w:ascii="Times New Roman" w:hAnsi="Times New Roman" w:cs="Times New Roman"/>
          <w:sz w:val="24"/>
          <w:szCs w:val="24"/>
          <w:lang w:val="en-US"/>
        </w:rPr>
        <w:t>Enquiry concerning human understanding” (EHU) en:</w:t>
      </w:r>
      <w:r w:rsidRPr="00E20D3F">
        <w:rPr>
          <w:rFonts w:ascii="Times New Roman" w:hAnsi="Times New Roman" w:cs="Times New Roman"/>
          <w:i/>
          <w:sz w:val="24"/>
          <w:szCs w:val="24"/>
          <w:lang w:val="en-US"/>
        </w:rPr>
        <w:t xml:space="preserve"> The Philosophical Works</w:t>
      </w:r>
      <w:r w:rsidRPr="00E20D3F">
        <w:rPr>
          <w:rFonts w:ascii="Times New Roman" w:hAnsi="Times New Roman" w:cs="Times New Roman"/>
          <w:sz w:val="24"/>
          <w:szCs w:val="24"/>
          <w:lang w:val="en-US"/>
        </w:rPr>
        <w:t xml:space="preserve"> (cuatro volúmenes). Ed. T.H. Green and T.H. Grose. London: Longman, 1882-6; reimpreso en  Darmstadt: Scientia Verlag Aalen, 1964, Sec 3-8.</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B. Secundaria.</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lastRenderedPageBreak/>
        <w:t xml:space="preserve">BELL, MARTIN. “Hume on Causation”, en: </w:t>
      </w:r>
      <w:r w:rsidRPr="00E20D3F">
        <w:rPr>
          <w:rFonts w:ascii="Times New Roman" w:hAnsi="Times New Roman" w:cs="Times New Roman"/>
          <w:i/>
          <w:sz w:val="24"/>
          <w:szCs w:val="24"/>
          <w:lang w:val="en-US"/>
        </w:rPr>
        <w:t>The Cambridge Companion</w:t>
      </w:r>
      <w:r w:rsidRPr="00E20D3F">
        <w:rPr>
          <w:rFonts w:ascii="Times New Roman" w:hAnsi="Times New Roman" w:cs="Times New Roman"/>
          <w:sz w:val="24"/>
          <w:szCs w:val="24"/>
          <w:lang w:val="en-US"/>
        </w:rPr>
        <w:t>. (David Fate Norton and Jacqueline  Taylor (ed),New York: Cambridge University Press, 2009. (p.147-177)</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 xml:space="preserve">KEMP SMITH, NORMAN. </w:t>
      </w:r>
      <w:r w:rsidRPr="00E20D3F">
        <w:rPr>
          <w:rFonts w:ascii="Times New Roman" w:hAnsi="Times New Roman" w:cs="Times New Roman"/>
          <w:i/>
          <w:sz w:val="24"/>
          <w:szCs w:val="24"/>
          <w:lang w:val="en-US"/>
        </w:rPr>
        <w:t>The philosophy of David Hume : a critical study of its origins and central doctrines</w:t>
      </w:r>
      <w:r w:rsidRPr="00E20D3F">
        <w:rPr>
          <w:rFonts w:ascii="Times New Roman" w:hAnsi="Times New Roman" w:cs="Times New Roman"/>
          <w:sz w:val="24"/>
          <w:szCs w:val="24"/>
          <w:lang w:val="en-US"/>
        </w:rPr>
        <w:t>. London : Macmillan and Co. Ltd, 1964. (Cap. XV y XX, p.349-441).</w:t>
      </w:r>
    </w:p>
    <w:p w:rsidR="00E20D3F" w:rsidRPr="00E20D3F" w:rsidRDefault="00E20D3F" w:rsidP="00163145">
      <w:pPr>
        <w:jc w:val="both"/>
        <w:rPr>
          <w:rFonts w:ascii="Times New Roman" w:hAnsi="Times New Roman" w:cs="Times New Roman"/>
          <w:sz w:val="24"/>
          <w:szCs w:val="24"/>
        </w:rPr>
      </w:pPr>
      <w:r w:rsidRPr="00E20D3F">
        <w:rPr>
          <w:rFonts w:ascii="Times New Roman" w:hAnsi="Times New Roman" w:cs="Times New Roman"/>
          <w:sz w:val="24"/>
          <w:szCs w:val="24"/>
        </w:rPr>
        <w:t xml:space="preserve">PEREIRA, FRANCISCO. </w:t>
      </w:r>
      <w:r w:rsidRPr="00E20D3F">
        <w:rPr>
          <w:rFonts w:ascii="Times New Roman" w:hAnsi="Times New Roman" w:cs="Times New Roman"/>
          <w:i/>
          <w:sz w:val="24"/>
          <w:szCs w:val="24"/>
        </w:rPr>
        <w:t>David Hume, Naturaleza, Conocimiento y Metafísica;</w:t>
      </w:r>
      <w:r w:rsidRPr="00E20D3F">
        <w:rPr>
          <w:rFonts w:ascii="Times New Roman" w:hAnsi="Times New Roman" w:cs="Times New Roman"/>
          <w:sz w:val="24"/>
          <w:szCs w:val="24"/>
        </w:rPr>
        <w:t xml:space="preserve"> Santiago-Chile: Universidad Alberto Hurtado, 2011. (Cap. II y III, p.91-199.)</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b/>
          <w:sz w:val="24"/>
          <w:szCs w:val="24"/>
        </w:rPr>
        <w:t xml:space="preserve">QUINTA UNIDAD: </w:t>
      </w:r>
      <w:r w:rsidRPr="00E20D3F">
        <w:rPr>
          <w:rFonts w:ascii="Times New Roman" w:hAnsi="Times New Roman" w:cs="Times New Roman"/>
          <w:sz w:val="24"/>
          <w:szCs w:val="24"/>
        </w:rPr>
        <w:t>De las ideas de tiempo y espacio.</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 xml:space="preserve">I. </w:t>
      </w:r>
      <w:r w:rsidRPr="00E20D3F">
        <w:rPr>
          <w:rFonts w:ascii="Times New Roman" w:hAnsi="Times New Roman" w:cs="Times New Roman"/>
          <w:i/>
          <w:sz w:val="24"/>
          <w:szCs w:val="24"/>
        </w:rPr>
        <w:t>Presentación de la estructura general  y el carácter de la segunda parte del libro primero. Indicación en su método de exposición.</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i/>
          <w:sz w:val="24"/>
          <w:szCs w:val="24"/>
        </w:rPr>
        <w:t>II. Primera parte del sistema.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a) Argumentos contra la divisibilidad infinita del tiempo y del espacio</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 Estatuto de la geometría.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III. Segunda parte del sistema.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a) Teoría de los “puntos matemáticos”.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 Argumentos contra la noción de “vacío”.</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c) Argumentos contra la noción de “tiempo sin cambio”.</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IV. Algunos aspectos problemáticos.</w:t>
      </w:r>
    </w:p>
    <w:p w:rsidR="00E20D3F" w:rsidRPr="00E20D3F" w:rsidRDefault="00E20D3F" w:rsidP="00E20D3F">
      <w:pPr>
        <w:pStyle w:val="Prrafodelista"/>
        <w:numPr>
          <w:ilvl w:val="0"/>
          <w:numId w:val="1"/>
        </w:numPr>
        <w:jc w:val="both"/>
        <w:rPr>
          <w:rFonts w:ascii="Times New Roman" w:hAnsi="Times New Roman" w:cs="Times New Roman"/>
          <w:sz w:val="24"/>
          <w:szCs w:val="24"/>
        </w:rPr>
      </w:pPr>
      <w:r w:rsidRPr="00E20D3F">
        <w:rPr>
          <w:rFonts w:ascii="Times New Roman" w:hAnsi="Times New Roman" w:cs="Times New Roman"/>
          <w:sz w:val="24"/>
          <w:szCs w:val="24"/>
        </w:rPr>
        <w:t>La geometría como “ciencia empírica” y el imaginario criterio de exactitud.</w:t>
      </w:r>
    </w:p>
    <w:p w:rsidR="00E20D3F" w:rsidRPr="00E20D3F" w:rsidRDefault="00E20D3F" w:rsidP="00E20D3F">
      <w:pPr>
        <w:pStyle w:val="Prrafodelista"/>
        <w:numPr>
          <w:ilvl w:val="0"/>
          <w:numId w:val="1"/>
        </w:numPr>
        <w:jc w:val="both"/>
        <w:rPr>
          <w:rFonts w:ascii="Times New Roman" w:hAnsi="Times New Roman" w:cs="Times New Roman"/>
          <w:sz w:val="24"/>
          <w:szCs w:val="24"/>
        </w:rPr>
      </w:pPr>
      <w:r w:rsidRPr="00E20D3F">
        <w:rPr>
          <w:rFonts w:ascii="Times New Roman" w:hAnsi="Times New Roman" w:cs="Times New Roman"/>
          <w:sz w:val="24"/>
          <w:szCs w:val="24"/>
        </w:rPr>
        <w:t>Las unidades sensibles (visibles y tangibles) sin extensión.</w:t>
      </w:r>
    </w:p>
    <w:p w:rsidR="00E20D3F" w:rsidRPr="00E20D3F" w:rsidRDefault="00E20D3F" w:rsidP="00E20D3F">
      <w:pPr>
        <w:pStyle w:val="Prrafodelista"/>
        <w:numPr>
          <w:ilvl w:val="0"/>
          <w:numId w:val="1"/>
        </w:numPr>
        <w:jc w:val="both"/>
        <w:rPr>
          <w:rFonts w:ascii="Times New Roman" w:hAnsi="Times New Roman" w:cs="Times New Roman"/>
          <w:sz w:val="24"/>
          <w:szCs w:val="24"/>
        </w:rPr>
      </w:pPr>
      <w:r w:rsidRPr="00E20D3F">
        <w:rPr>
          <w:rFonts w:ascii="Times New Roman" w:hAnsi="Times New Roman" w:cs="Times New Roman"/>
          <w:sz w:val="24"/>
          <w:szCs w:val="24"/>
        </w:rPr>
        <w:t>Tiempo y espacio como modos de “ordenación” de nuestras percepciones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BIBLIOGRAFÍA DE LA UNIDAD</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A. Principal.</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lang w:val="en-US"/>
        </w:rPr>
        <w:t xml:space="preserve">DAVID HUME. </w:t>
      </w:r>
      <w:r w:rsidRPr="00E20D3F">
        <w:rPr>
          <w:rFonts w:ascii="Times New Roman" w:hAnsi="Times New Roman" w:cs="Times New Roman"/>
          <w:i/>
          <w:sz w:val="24"/>
          <w:szCs w:val="24"/>
          <w:lang w:val="en-US"/>
        </w:rPr>
        <w:t>A Tratise of de Human Nature</w:t>
      </w:r>
      <w:r w:rsidRPr="00E20D3F">
        <w:rPr>
          <w:rFonts w:ascii="Times New Roman" w:hAnsi="Times New Roman" w:cs="Times New Roman"/>
          <w:sz w:val="24"/>
          <w:szCs w:val="24"/>
          <w:lang w:val="en-US"/>
        </w:rPr>
        <w:t xml:space="preserve">. Ed. D. F. Norton and M.J. Norton. </w:t>
      </w:r>
      <w:r w:rsidRPr="00E20D3F">
        <w:rPr>
          <w:rFonts w:ascii="Times New Roman" w:hAnsi="Times New Roman" w:cs="Times New Roman"/>
          <w:sz w:val="24"/>
          <w:szCs w:val="24"/>
        </w:rPr>
        <w:t>Oxford: Clarendon Press. 2011. (I, 2, p.S.B23-48).</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B. Secundaria.</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 xml:space="preserve">DONALD BAXTER. “Hume´s Theory o Sapce and Time”, en: </w:t>
      </w:r>
      <w:r w:rsidRPr="00E20D3F">
        <w:rPr>
          <w:rFonts w:ascii="Times New Roman" w:hAnsi="Times New Roman" w:cs="Times New Roman"/>
          <w:i/>
          <w:sz w:val="24"/>
          <w:szCs w:val="24"/>
          <w:lang w:val="en-US"/>
        </w:rPr>
        <w:t>The Cambridge Companion</w:t>
      </w:r>
      <w:r w:rsidRPr="00E20D3F">
        <w:rPr>
          <w:rFonts w:ascii="Times New Roman" w:hAnsi="Times New Roman" w:cs="Times New Roman"/>
          <w:sz w:val="24"/>
          <w:szCs w:val="24"/>
          <w:lang w:val="en-US"/>
        </w:rPr>
        <w:t>. (David Fate Norton and Jacqueline  Taylor (ed),New York: Cambridge University Press, 2009. p.105-147.</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b/>
          <w:sz w:val="24"/>
          <w:szCs w:val="24"/>
        </w:rPr>
        <w:lastRenderedPageBreak/>
        <w:t xml:space="preserve">SEXTA UNIDAD: </w:t>
      </w:r>
      <w:r w:rsidRPr="00E20D3F">
        <w:rPr>
          <w:rFonts w:ascii="Times New Roman" w:hAnsi="Times New Roman" w:cs="Times New Roman"/>
          <w:sz w:val="24"/>
          <w:szCs w:val="24"/>
        </w:rPr>
        <w:t>Del problema de la “existencia exterior”</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I. Los dos sentidos de existencia según el final de la segunda parte de libro primero de THN</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a) Existencia como ser-percibido</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b) Existencia “exterior”</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II. El problema de la existencia exterior desde el escepticismo.</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a) Planteamiento del problema: la existencia exterior como problema de creencia y lo que mentamos con este concepto.</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b) Contigüidad y consistencia.</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III. La experiencia vulgar y la razón filosófica</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BIBLIOGRAFÍA DE UNIDAD</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A. Principal.</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 xml:space="preserve">DAVID HUME. </w:t>
      </w:r>
      <w:r w:rsidRPr="00E20D3F">
        <w:rPr>
          <w:rFonts w:ascii="Times New Roman" w:hAnsi="Times New Roman" w:cs="Times New Roman"/>
          <w:i/>
          <w:sz w:val="24"/>
          <w:szCs w:val="24"/>
          <w:lang w:val="en-US"/>
        </w:rPr>
        <w:t>A Tratise of de Human Nature</w:t>
      </w:r>
      <w:r w:rsidRPr="00E20D3F">
        <w:rPr>
          <w:rFonts w:ascii="Times New Roman" w:hAnsi="Times New Roman" w:cs="Times New Roman"/>
          <w:sz w:val="24"/>
          <w:szCs w:val="24"/>
          <w:lang w:val="en-US"/>
        </w:rPr>
        <w:t>. Ed. D. F. Norton and M.J. Norton. Oxford: Clarendon Press. 2011. (I, 2, 6 p.S.B 48-50; I, 4, 1-4, S.B 121-148).</w:t>
      </w:r>
    </w:p>
    <w:p w:rsidR="00E20D3F" w:rsidRPr="00E20D3F" w:rsidRDefault="00E20D3F" w:rsidP="00E20D3F">
      <w:pPr>
        <w:rPr>
          <w:rFonts w:ascii="Times New Roman" w:hAnsi="Times New Roman" w:cs="Times New Roman"/>
          <w:sz w:val="24"/>
          <w:szCs w:val="24"/>
          <w:lang w:val="en-US"/>
        </w:rPr>
      </w:pPr>
      <w:r w:rsidRPr="00E20D3F">
        <w:rPr>
          <w:rFonts w:ascii="Times New Roman" w:hAnsi="Times New Roman" w:cs="Times New Roman"/>
          <w:sz w:val="24"/>
          <w:szCs w:val="24"/>
          <w:lang w:val="en-US"/>
        </w:rPr>
        <w:t>B. Secudaria.</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lang w:val="en-US"/>
        </w:rPr>
        <w:t xml:space="preserve">PRICE. H.H. </w:t>
      </w:r>
      <w:r w:rsidRPr="00E20D3F">
        <w:rPr>
          <w:rFonts w:ascii="Times New Roman" w:hAnsi="Times New Roman" w:cs="Times New Roman"/>
          <w:i/>
          <w:sz w:val="24"/>
          <w:szCs w:val="24"/>
          <w:lang w:val="en-US"/>
        </w:rPr>
        <w:t>Hume´s Theory of the external World</w:t>
      </w:r>
      <w:r w:rsidRPr="00E20D3F">
        <w:rPr>
          <w:rFonts w:ascii="Times New Roman" w:hAnsi="Times New Roman" w:cs="Times New Roman"/>
          <w:sz w:val="24"/>
          <w:szCs w:val="24"/>
          <w:lang w:val="en-US"/>
        </w:rPr>
        <w:t xml:space="preserve">. </w:t>
      </w:r>
      <w:r w:rsidRPr="00E20D3F">
        <w:rPr>
          <w:rFonts w:ascii="Times New Roman" w:hAnsi="Times New Roman" w:cs="Times New Roman"/>
          <w:sz w:val="24"/>
          <w:szCs w:val="24"/>
        </w:rPr>
        <w:t>Oxford: Clarendon Press. 1948</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b/>
          <w:sz w:val="24"/>
          <w:szCs w:val="24"/>
        </w:rPr>
        <w:t xml:space="preserve">SEPTIMA UNIDAD: </w:t>
      </w:r>
      <w:r w:rsidRPr="00E20D3F">
        <w:rPr>
          <w:rFonts w:ascii="Times New Roman" w:hAnsi="Times New Roman" w:cs="Times New Roman"/>
          <w:sz w:val="24"/>
          <w:szCs w:val="24"/>
        </w:rPr>
        <w:t>El problema de la identidad personal.</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I. El problema del “yo mismo”.</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a) Refutación de la “inmaterialidad del alma”.</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b) Explicación humeana de “yo mismo”.</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II. El problema del “yo mismo” visto desde las pasiones.</w:t>
      </w:r>
    </w:p>
    <w:p w:rsidR="00E20D3F" w:rsidRPr="00E20D3F" w:rsidRDefault="00E20D3F" w:rsidP="00E20D3F">
      <w:pPr>
        <w:jc w:val="both"/>
        <w:rPr>
          <w:rFonts w:ascii="Times New Roman" w:hAnsi="Times New Roman" w:cs="Times New Roman"/>
          <w:sz w:val="24"/>
          <w:szCs w:val="24"/>
        </w:rPr>
      </w:pPr>
      <w:r w:rsidRPr="00E20D3F">
        <w:rPr>
          <w:rFonts w:ascii="Times New Roman" w:hAnsi="Times New Roman" w:cs="Times New Roman"/>
          <w:sz w:val="24"/>
          <w:szCs w:val="24"/>
        </w:rPr>
        <w:t>BIBLIOGRAFÍA DE LA UNIDAD</w:t>
      </w:r>
    </w:p>
    <w:p w:rsidR="00E20D3F" w:rsidRPr="00E20D3F" w:rsidRDefault="00E20D3F" w:rsidP="00E20D3F">
      <w:pPr>
        <w:rPr>
          <w:rFonts w:ascii="Times New Roman" w:hAnsi="Times New Roman" w:cs="Times New Roman"/>
          <w:sz w:val="24"/>
          <w:szCs w:val="24"/>
        </w:rPr>
      </w:pPr>
      <w:r w:rsidRPr="00E20D3F">
        <w:rPr>
          <w:rFonts w:ascii="Times New Roman" w:hAnsi="Times New Roman" w:cs="Times New Roman"/>
          <w:sz w:val="24"/>
          <w:szCs w:val="24"/>
        </w:rPr>
        <w:t>A. Principal.</w:t>
      </w:r>
    </w:p>
    <w:p w:rsidR="00E20D3F" w:rsidRPr="00E20D3F" w:rsidRDefault="00E20D3F" w:rsidP="00E20D3F">
      <w:pPr>
        <w:jc w:val="both"/>
        <w:rPr>
          <w:rFonts w:ascii="Times New Roman" w:hAnsi="Times New Roman" w:cs="Times New Roman"/>
          <w:sz w:val="24"/>
          <w:szCs w:val="24"/>
          <w:lang w:val="en-US"/>
        </w:rPr>
      </w:pPr>
      <w:r w:rsidRPr="00E20D3F">
        <w:rPr>
          <w:rFonts w:ascii="Times New Roman" w:hAnsi="Times New Roman" w:cs="Times New Roman"/>
          <w:sz w:val="24"/>
          <w:szCs w:val="24"/>
          <w:lang w:val="en-US"/>
        </w:rPr>
        <w:t xml:space="preserve">DAVID HUME. </w:t>
      </w:r>
      <w:r w:rsidRPr="00E20D3F">
        <w:rPr>
          <w:rFonts w:ascii="Times New Roman" w:hAnsi="Times New Roman" w:cs="Times New Roman"/>
          <w:i/>
          <w:sz w:val="24"/>
          <w:szCs w:val="24"/>
          <w:lang w:val="en-US"/>
        </w:rPr>
        <w:t>A Tratise of de Human Nature</w:t>
      </w:r>
      <w:r w:rsidRPr="00E20D3F">
        <w:rPr>
          <w:rFonts w:ascii="Times New Roman" w:hAnsi="Times New Roman" w:cs="Times New Roman"/>
          <w:sz w:val="24"/>
          <w:szCs w:val="24"/>
          <w:lang w:val="en-US"/>
        </w:rPr>
        <w:t>. Ed. D. F. Norton and M.J. Norton. Oxford: Clarendon Press. 2011. (I, 4, 6, S.B 164-171; II, 3. 257-268; Ap. 10-21,).</w:t>
      </w:r>
    </w:p>
    <w:p w:rsidR="00E20D3F" w:rsidRPr="00E20D3F" w:rsidRDefault="00E20D3F" w:rsidP="00E20D3F">
      <w:pPr>
        <w:rPr>
          <w:rFonts w:ascii="Times New Roman" w:hAnsi="Times New Roman" w:cs="Times New Roman"/>
          <w:sz w:val="24"/>
          <w:szCs w:val="24"/>
          <w:lang w:val="en-US"/>
        </w:rPr>
      </w:pPr>
      <w:r w:rsidRPr="00E20D3F">
        <w:rPr>
          <w:rFonts w:ascii="Times New Roman" w:hAnsi="Times New Roman" w:cs="Times New Roman"/>
          <w:sz w:val="24"/>
          <w:szCs w:val="24"/>
          <w:lang w:val="en-US"/>
        </w:rPr>
        <w:t>B. Secudaria.</w:t>
      </w:r>
    </w:p>
    <w:p w:rsidR="00E20D3F" w:rsidRPr="00E20D3F" w:rsidRDefault="00E20D3F" w:rsidP="00163145">
      <w:pPr>
        <w:rPr>
          <w:rFonts w:ascii="Times New Roman" w:hAnsi="Times New Roman" w:cs="Times New Roman"/>
          <w:sz w:val="24"/>
          <w:szCs w:val="24"/>
          <w:lang w:val="en-US"/>
        </w:rPr>
      </w:pPr>
      <w:r w:rsidRPr="00E20D3F">
        <w:rPr>
          <w:rFonts w:ascii="Times New Roman" w:hAnsi="Times New Roman" w:cs="Times New Roman"/>
          <w:sz w:val="24"/>
          <w:szCs w:val="24"/>
          <w:lang w:val="en-US"/>
        </w:rPr>
        <w:lastRenderedPageBreak/>
        <w:t xml:space="preserve">JANE L. MCINTY. “Hume and the problem of the personal identity”en: </w:t>
      </w:r>
      <w:r w:rsidRPr="00E20D3F">
        <w:rPr>
          <w:rFonts w:ascii="Times New Roman" w:hAnsi="Times New Roman" w:cs="Times New Roman"/>
          <w:i/>
          <w:sz w:val="24"/>
          <w:szCs w:val="24"/>
          <w:lang w:val="en-US"/>
        </w:rPr>
        <w:t>The Cambridge Companion</w:t>
      </w:r>
      <w:r w:rsidRPr="00E20D3F">
        <w:rPr>
          <w:rFonts w:ascii="Times New Roman" w:hAnsi="Times New Roman" w:cs="Times New Roman"/>
          <w:sz w:val="24"/>
          <w:szCs w:val="24"/>
          <w:lang w:val="en-US"/>
        </w:rPr>
        <w:t>. (David Fate Norton and Jacqueline  Taylor (ed),New York: Cambridge University Press, 2009. p.177-209</w:t>
      </w:r>
    </w:p>
    <w:p w:rsidR="00E20D3F" w:rsidRPr="00E20D3F" w:rsidRDefault="00E20D3F" w:rsidP="00E20D3F">
      <w:pPr>
        <w:widowControl w:val="0"/>
        <w:autoSpaceDE w:val="0"/>
        <w:autoSpaceDN w:val="0"/>
        <w:adjustRightInd w:val="0"/>
        <w:spacing w:after="0" w:line="240" w:lineRule="auto"/>
        <w:ind w:left="1428"/>
        <w:jc w:val="both"/>
        <w:rPr>
          <w:rFonts w:ascii="Times New Roman" w:eastAsiaTheme="minorEastAsia" w:hAnsi="Times New Roman" w:cs="Times New Roman"/>
          <w:i/>
          <w:iCs/>
          <w:sz w:val="24"/>
          <w:szCs w:val="24"/>
          <w:lang w:val="en-US" w:eastAsia="es-CL"/>
        </w:rPr>
      </w:pP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5. BIBLIOGRAFÍA .</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w:t>
      </w:r>
      <w:r w:rsidRPr="00E20D3F">
        <w:rPr>
          <w:rFonts w:ascii="Times New Roman" w:eastAsiaTheme="minorEastAsia" w:hAnsi="Times New Roman" w:cs="Times New Roman"/>
          <w:i/>
          <w:sz w:val="24"/>
          <w:szCs w:val="24"/>
          <w:lang w:val="es-MX" w:eastAsia="es-CL"/>
        </w:rPr>
        <w:t>Confróntese bibliografía para cada unidad del curso</w:t>
      </w:r>
      <w:r w:rsidRPr="00E20D3F">
        <w:rPr>
          <w:rFonts w:ascii="Times New Roman" w:eastAsiaTheme="minorEastAsia" w:hAnsi="Times New Roman" w:cs="Times New Roman"/>
          <w:sz w:val="24"/>
          <w:szCs w:val="24"/>
          <w:lang w:val="es-MX" w:eastAsia="es-CL"/>
        </w:rPr>
        <w:t>)</w:t>
      </w:r>
    </w:p>
    <w:p w:rsidR="00E20D3F" w:rsidRPr="00E20D3F" w:rsidRDefault="00E20D3F" w:rsidP="00E20D3F">
      <w:pPr>
        <w:widowControl w:val="0"/>
        <w:autoSpaceDE w:val="0"/>
        <w:autoSpaceDN w:val="0"/>
        <w:adjustRightInd w:val="0"/>
        <w:spacing w:after="0" w:line="360" w:lineRule="auto"/>
        <w:jc w:val="both"/>
        <w:rPr>
          <w:rFonts w:ascii="Times New Roman" w:eastAsiaTheme="minorEastAsia" w:hAnsi="Times New Roman" w:cs="Times New Roman"/>
          <w:sz w:val="24"/>
          <w:szCs w:val="24"/>
          <w:lang w:val="es-ES" w:eastAsia="es-CL"/>
        </w:rPr>
      </w:pP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6. EVALUACIÓN.</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w:t>
      </w:r>
      <w:r w:rsidR="00163145">
        <w:rPr>
          <w:rFonts w:ascii="Times New Roman" w:eastAsiaTheme="minorEastAsia" w:hAnsi="Times New Roman" w:cs="Times New Roman"/>
          <w:sz w:val="24"/>
          <w:szCs w:val="24"/>
          <w:lang w:val="es-MX" w:eastAsia="es-CL"/>
        </w:rPr>
        <w:t>Informes de lectura períodicos</w:t>
      </w:r>
      <w:r w:rsidRPr="00E20D3F">
        <w:rPr>
          <w:rFonts w:ascii="Times New Roman" w:eastAsiaTheme="minorEastAsia" w:hAnsi="Times New Roman" w:cs="Times New Roman"/>
          <w:sz w:val="24"/>
          <w:szCs w:val="24"/>
          <w:lang w:val="es-MX" w:eastAsia="es-CL"/>
        </w:rPr>
        <w:t xml:space="preserve"> (6 en total) (60 %)</w:t>
      </w:r>
    </w:p>
    <w:p w:rsidR="00E20D3F" w:rsidRPr="00E20D3F" w:rsidRDefault="00E20D3F" w:rsidP="00E20D3F">
      <w:pPr>
        <w:widowControl w:val="0"/>
        <w:autoSpaceDE w:val="0"/>
        <w:autoSpaceDN w:val="0"/>
        <w:adjustRightInd w:val="0"/>
        <w:spacing w:after="0" w:line="360" w:lineRule="auto"/>
        <w:rPr>
          <w:rFonts w:ascii="Times New Roman" w:eastAsiaTheme="minorEastAsia" w:hAnsi="Times New Roman" w:cs="Times New Roman"/>
          <w:sz w:val="24"/>
          <w:szCs w:val="24"/>
          <w:lang w:val="es-MX" w:eastAsia="es-CL"/>
        </w:rPr>
      </w:pPr>
      <w:r w:rsidRPr="00E20D3F">
        <w:rPr>
          <w:rFonts w:ascii="Times New Roman" w:eastAsiaTheme="minorEastAsia" w:hAnsi="Times New Roman" w:cs="Times New Roman"/>
          <w:sz w:val="24"/>
          <w:szCs w:val="24"/>
          <w:lang w:val="es-MX" w:eastAsia="es-CL"/>
        </w:rPr>
        <w:t>-Trabajo final sobre un aspecto específico de lo tratado (40%)</w:t>
      </w:r>
    </w:p>
    <w:p w:rsidR="00E20D3F" w:rsidRPr="00E20D3F" w:rsidRDefault="00E20D3F" w:rsidP="00B81166">
      <w:pPr>
        <w:rPr>
          <w:rFonts w:ascii="Times New Roman" w:hAnsi="Times New Roman" w:cs="Times New Roman"/>
          <w:b/>
          <w:sz w:val="24"/>
          <w:szCs w:val="24"/>
        </w:rPr>
      </w:pPr>
    </w:p>
    <w:sectPr w:rsidR="00E20D3F" w:rsidRPr="00E20D3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7A" w:rsidRDefault="00C9057A" w:rsidP="00B81166">
      <w:pPr>
        <w:spacing w:after="0" w:line="240" w:lineRule="auto"/>
      </w:pPr>
      <w:r>
        <w:separator/>
      </w:r>
    </w:p>
  </w:endnote>
  <w:endnote w:type="continuationSeparator" w:id="0">
    <w:p w:rsidR="00C9057A" w:rsidRDefault="00C9057A" w:rsidP="00B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7A" w:rsidRDefault="00C9057A" w:rsidP="00B81166">
      <w:pPr>
        <w:spacing w:after="0" w:line="240" w:lineRule="auto"/>
      </w:pPr>
      <w:r>
        <w:separator/>
      </w:r>
    </w:p>
  </w:footnote>
  <w:footnote w:type="continuationSeparator" w:id="0">
    <w:p w:rsidR="00C9057A" w:rsidRDefault="00C9057A" w:rsidP="00B81166">
      <w:pPr>
        <w:spacing w:after="0" w:line="240" w:lineRule="auto"/>
      </w:pPr>
      <w:r>
        <w:continuationSeparator/>
      </w:r>
    </w:p>
  </w:footnote>
  <w:footnote w:id="1">
    <w:p w:rsidR="00E20D3F" w:rsidRPr="00751E32" w:rsidRDefault="00E20D3F" w:rsidP="00E20D3F">
      <w:pPr>
        <w:pStyle w:val="Textonotapie"/>
      </w:pPr>
      <w:r>
        <w:rPr>
          <w:rStyle w:val="Refdenotaalpie"/>
        </w:rPr>
        <w:footnoteRef/>
      </w:r>
      <w:r>
        <w:t xml:space="preserve"> La abreviatura S.B. representa la edición L.A </w:t>
      </w:r>
      <w:r w:rsidRPr="00751E32">
        <w:t>Selby-Bigge</w:t>
      </w:r>
      <w:r>
        <w:t>, que es la edición según la cual hoy se cita preferentemente</w:t>
      </w:r>
    </w:p>
  </w:footnote>
  <w:footnote w:id="2">
    <w:p w:rsidR="00E20D3F" w:rsidRDefault="00E20D3F" w:rsidP="00E20D3F">
      <w:pPr>
        <w:pStyle w:val="Textonotapie"/>
      </w:pPr>
      <w:r>
        <w:rPr>
          <w:rStyle w:val="Refdenotaalpie"/>
        </w:rPr>
        <w:footnoteRef/>
      </w:r>
      <w:r>
        <w:t xml:space="preserve"> Esta edición es anterior a S.B. y no corresponde en su numeración. Hay además discrepancias en las versiones.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90D7C8"/>
    <w:lvl w:ilvl="0">
      <w:numFmt w:val="bullet"/>
      <w:lvlText w:val="*"/>
      <w:lvlJc w:val="left"/>
    </w:lvl>
  </w:abstractNum>
  <w:abstractNum w:abstractNumId="1">
    <w:nsid w:val="23024B44"/>
    <w:multiLevelType w:val="singleLevel"/>
    <w:tmpl w:val="E8A46C40"/>
    <w:lvl w:ilvl="0">
      <w:start w:val="2"/>
      <w:numFmt w:val="upperLetter"/>
      <w:lvlText w:val="%1."/>
      <w:legacy w:legacy="1" w:legacySpace="0" w:legacyIndent="360"/>
      <w:lvlJc w:val="left"/>
      <w:rPr>
        <w:rFonts w:ascii="Times New Roman" w:hAnsi="Times New Roman" w:cs="Times New Roman" w:hint="default"/>
      </w:rPr>
    </w:lvl>
  </w:abstractNum>
  <w:abstractNum w:abstractNumId="2">
    <w:nsid w:val="27A92AB6"/>
    <w:multiLevelType w:val="singleLevel"/>
    <w:tmpl w:val="8564CA02"/>
    <w:lvl w:ilvl="0">
      <w:start w:val="1"/>
      <w:numFmt w:val="decimal"/>
      <w:lvlText w:val="%1"/>
      <w:legacy w:legacy="1" w:legacySpace="0" w:legacyIndent="360"/>
      <w:lvlJc w:val="left"/>
      <w:rPr>
        <w:rFonts w:ascii="Times New Roman" w:hAnsi="Times New Roman" w:cs="Times New Roman" w:hint="default"/>
      </w:rPr>
    </w:lvl>
  </w:abstractNum>
  <w:abstractNum w:abstractNumId="3">
    <w:nsid w:val="39203E76"/>
    <w:multiLevelType w:val="singleLevel"/>
    <w:tmpl w:val="8564CA02"/>
    <w:lvl w:ilvl="0">
      <w:start w:val="1"/>
      <w:numFmt w:val="decimal"/>
      <w:lvlText w:val="%1"/>
      <w:legacy w:legacy="1" w:legacySpace="0" w:legacyIndent="360"/>
      <w:lvlJc w:val="left"/>
      <w:rPr>
        <w:rFonts w:ascii="Times New Roman" w:hAnsi="Times New Roman" w:cs="Times New Roman" w:hint="default"/>
      </w:rPr>
    </w:lvl>
  </w:abstractNum>
  <w:abstractNum w:abstractNumId="4">
    <w:nsid w:val="3DAE0729"/>
    <w:multiLevelType w:val="singleLevel"/>
    <w:tmpl w:val="8564CA02"/>
    <w:lvl w:ilvl="0">
      <w:start w:val="1"/>
      <w:numFmt w:val="decimal"/>
      <w:lvlText w:val="%1"/>
      <w:legacy w:legacy="1" w:legacySpace="0" w:legacyIndent="360"/>
      <w:lvlJc w:val="left"/>
      <w:rPr>
        <w:rFonts w:ascii="Times New Roman" w:hAnsi="Times New Roman" w:cs="Times New Roman" w:hint="default"/>
      </w:rPr>
    </w:lvl>
  </w:abstractNum>
  <w:abstractNum w:abstractNumId="5">
    <w:nsid w:val="432069E9"/>
    <w:multiLevelType w:val="hybridMultilevel"/>
    <w:tmpl w:val="936E6EC2"/>
    <w:lvl w:ilvl="0" w:tplc="814C9E18">
      <w:start w:val="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FA97B8F"/>
    <w:multiLevelType w:val="singleLevel"/>
    <w:tmpl w:val="E8A46C40"/>
    <w:lvl w:ilvl="0">
      <w:start w:val="1"/>
      <w:numFmt w:val="upperLetter"/>
      <w:lvlText w:val="%1."/>
      <w:legacy w:legacy="1" w:legacySpace="0" w:legacyIndent="360"/>
      <w:lvlJc w:val="left"/>
      <w:rPr>
        <w:rFonts w:ascii="Times New Roman" w:hAnsi="Times New Roman" w:cs="Times New Roman" w:hint="default"/>
      </w:r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6"/>
    <w:lvlOverride w:ilvl="0">
      <w:lvl w:ilvl="0">
        <w:start w:val="2"/>
        <w:numFmt w:val="upperLetter"/>
        <w:lvlText w:val="%1."/>
        <w:legacy w:legacy="1" w:legacySpace="0" w:legacyIndent="360"/>
        <w:lvlJc w:val="left"/>
        <w:rPr>
          <w:rFonts w:ascii="Times New Roman" w:hAnsi="Times New Roman" w:cs="Times New Roman" w:hint="default"/>
        </w:rPr>
      </w:lvl>
    </w:lvlOverride>
  </w:num>
  <w:num w:numId="5">
    <w:abstractNumId w:val="6"/>
    <w:lvlOverride w:ilvl="0">
      <w:lvl w:ilvl="0">
        <w:start w:val="3"/>
        <w:numFmt w:val="upperLetter"/>
        <w:lvlText w:val="%1."/>
        <w:legacy w:legacy="1" w:legacySpace="0" w:legacyIndent="360"/>
        <w:lvlJc w:val="left"/>
        <w:rPr>
          <w:rFonts w:ascii="Times New Roman" w:hAnsi="Times New Roman" w:cs="Times New Roman" w:hint="default"/>
        </w:rPr>
      </w:lvl>
    </w:lvlOverride>
  </w:num>
  <w:num w:numId="6">
    <w:abstractNumId w:val="6"/>
    <w:lvlOverride w:ilvl="0">
      <w:lvl w:ilvl="0">
        <w:start w:val="4"/>
        <w:numFmt w:val="upperLetter"/>
        <w:lvlText w:val="%1."/>
        <w:legacy w:legacy="1" w:legacySpace="0" w:legacyIndent="360"/>
        <w:lvlJc w:val="left"/>
        <w:rPr>
          <w:rFonts w:ascii="Times New Roman" w:hAnsi="Times New Roman" w:cs="Times New Roman" w:hint="default"/>
        </w:rPr>
      </w:lvl>
    </w:lvlOverride>
  </w:num>
  <w:num w:numId="7">
    <w:abstractNumId w:val="6"/>
    <w:lvlOverride w:ilvl="0">
      <w:lvl w:ilvl="0">
        <w:start w:val="5"/>
        <w:numFmt w:val="upperLetter"/>
        <w:lvlText w:val="%1."/>
        <w:legacy w:legacy="1" w:legacySpace="0" w:legacyIndent="360"/>
        <w:lvlJc w:val="left"/>
        <w:rPr>
          <w:rFonts w:ascii="Times New Roman" w:hAnsi="Times New Roman" w:cs="Times New Roman" w:hint="default"/>
        </w:rPr>
      </w:lvl>
    </w:lvlOverride>
  </w:num>
  <w:num w:numId="8">
    <w:abstractNumId w:val="6"/>
    <w:lvlOverride w:ilvl="0">
      <w:lvl w:ilvl="0">
        <w:start w:val="6"/>
        <w:numFmt w:val="upperLetter"/>
        <w:lvlText w:val="%1."/>
        <w:legacy w:legacy="1" w:legacySpace="0" w:legacyIndent="360"/>
        <w:lvlJc w:val="left"/>
        <w:rPr>
          <w:rFonts w:ascii="Times New Roman" w:hAnsi="Times New Roman" w:cs="Times New Roman" w:hint="default"/>
        </w:rPr>
      </w:lvl>
    </w:lvlOverride>
  </w:num>
  <w:num w:numId="9">
    <w:abstractNumId w:val="2"/>
  </w:num>
  <w:num w:numId="10">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11">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12">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13">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14">
    <w:abstractNumId w:val="2"/>
    <w:lvlOverride w:ilvl="0">
      <w:lvl w:ilvl="0">
        <w:start w:val="6"/>
        <w:numFmt w:val="decimal"/>
        <w:lvlText w:val="%1"/>
        <w:legacy w:legacy="1" w:legacySpace="0" w:legacyIndent="360"/>
        <w:lvlJc w:val="left"/>
        <w:rPr>
          <w:rFonts w:ascii="Times New Roman" w:hAnsi="Times New Roman" w:cs="Times New Roman" w:hint="default"/>
        </w:rPr>
      </w:lvl>
    </w:lvlOverride>
  </w:num>
  <w:num w:numId="15">
    <w:abstractNumId w:val="2"/>
    <w:lvlOverride w:ilvl="0">
      <w:lvl w:ilvl="0">
        <w:start w:val="7"/>
        <w:numFmt w:val="decimal"/>
        <w:lvlText w:val="%1"/>
        <w:legacy w:legacy="1" w:legacySpace="0" w:legacyIndent="360"/>
        <w:lvlJc w:val="left"/>
        <w:rPr>
          <w:rFonts w:ascii="Times New Roman" w:hAnsi="Times New Roman" w:cs="Times New Roman" w:hint="default"/>
        </w:rPr>
      </w:lvl>
    </w:lvlOverride>
  </w:num>
  <w:num w:numId="16">
    <w:abstractNumId w:val="2"/>
    <w:lvlOverride w:ilvl="0">
      <w:lvl w:ilvl="0">
        <w:start w:val="8"/>
        <w:numFmt w:val="decimal"/>
        <w:lvlText w:val="%1"/>
        <w:legacy w:legacy="1" w:legacySpace="0" w:legacyIndent="360"/>
        <w:lvlJc w:val="left"/>
        <w:rPr>
          <w:rFonts w:ascii="Times New Roman" w:hAnsi="Times New Roman" w:cs="Times New Roman" w:hint="default"/>
        </w:rPr>
      </w:lvl>
    </w:lvlOverride>
  </w:num>
  <w:num w:numId="17">
    <w:abstractNumId w:val="2"/>
    <w:lvlOverride w:ilvl="0">
      <w:lvl w:ilvl="0">
        <w:start w:val="9"/>
        <w:numFmt w:val="decimal"/>
        <w:lvlText w:val="%1"/>
        <w:legacy w:legacy="1" w:legacySpace="0" w:legacyIndent="360"/>
        <w:lvlJc w:val="left"/>
        <w:rPr>
          <w:rFonts w:ascii="Times New Roman" w:hAnsi="Times New Roman" w:cs="Times New Roman" w:hint="default"/>
        </w:rPr>
      </w:lvl>
    </w:lvlOverride>
  </w:num>
  <w:num w:numId="18">
    <w:abstractNumId w:val="2"/>
    <w:lvlOverride w:ilvl="0">
      <w:lvl w:ilvl="0">
        <w:start w:val="10"/>
        <w:numFmt w:val="decimal"/>
        <w:lvlText w:val="%1"/>
        <w:legacy w:legacy="1" w:legacySpace="0" w:legacyIndent="360"/>
        <w:lvlJc w:val="left"/>
        <w:rPr>
          <w:rFonts w:ascii="Times New Roman" w:hAnsi="Times New Roman" w:cs="Times New Roman" w:hint="default"/>
        </w:rPr>
      </w:lvl>
    </w:lvlOverride>
  </w:num>
  <w:num w:numId="19">
    <w:abstractNumId w:val="1"/>
  </w:num>
  <w:num w:numId="20">
    <w:abstractNumId w:val="4"/>
  </w:num>
  <w:num w:numId="21">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22">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23">
    <w:abstractNumId w:val="3"/>
  </w:num>
  <w:num w:numId="24">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F7"/>
    <w:rsid w:val="00041ED3"/>
    <w:rsid w:val="00074C01"/>
    <w:rsid w:val="000C3349"/>
    <w:rsid w:val="000E6E5C"/>
    <w:rsid w:val="00105055"/>
    <w:rsid w:val="00163145"/>
    <w:rsid w:val="001A3E12"/>
    <w:rsid w:val="00267532"/>
    <w:rsid w:val="002A579B"/>
    <w:rsid w:val="002F55E2"/>
    <w:rsid w:val="003A5F73"/>
    <w:rsid w:val="00470B14"/>
    <w:rsid w:val="00483E35"/>
    <w:rsid w:val="00593757"/>
    <w:rsid w:val="005A6E7F"/>
    <w:rsid w:val="00634259"/>
    <w:rsid w:val="00656517"/>
    <w:rsid w:val="006E4E3E"/>
    <w:rsid w:val="006F0019"/>
    <w:rsid w:val="00815B68"/>
    <w:rsid w:val="009503FB"/>
    <w:rsid w:val="0098647A"/>
    <w:rsid w:val="009B2149"/>
    <w:rsid w:val="00A03155"/>
    <w:rsid w:val="00A21E85"/>
    <w:rsid w:val="00A42FED"/>
    <w:rsid w:val="00A446A8"/>
    <w:rsid w:val="00B323C8"/>
    <w:rsid w:val="00B81166"/>
    <w:rsid w:val="00BD634C"/>
    <w:rsid w:val="00C0442B"/>
    <w:rsid w:val="00C257FA"/>
    <w:rsid w:val="00C75A13"/>
    <w:rsid w:val="00C9057A"/>
    <w:rsid w:val="00CA51C6"/>
    <w:rsid w:val="00D15C4F"/>
    <w:rsid w:val="00D45111"/>
    <w:rsid w:val="00DC3AF7"/>
    <w:rsid w:val="00DE3096"/>
    <w:rsid w:val="00E20D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3AF7"/>
    <w:pPr>
      <w:ind w:left="720"/>
      <w:contextualSpacing/>
    </w:pPr>
  </w:style>
  <w:style w:type="paragraph" w:styleId="Textonotapie">
    <w:name w:val="footnote text"/>
    <w:basedOn w:val="Normal"/>
    <w:link w:val="TextonotapieCar"/>
    <w:uiPriority w:val="99"/>
    <w:semiHidden/>
    <w:unhideWhenUsed/>
    <w:rsid w:val="00B811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1166"/>
    <w:rPr>
      <w:sz w:val="20"/>
      <w:szCs w:val="20"/>
    </w:rPr>
  </w:style>
  <w:style w:type="character" w:styleId="Refdenotaalpie">
    <w:name w:val="footnote reference"/>
    <w:basedOn w:val="Fuentedeprrafopredeter"/>
    <w:uiPriority w:val="99"/>
    <w:semiHidden/>
    <w:unhideWhenUsed/>
    <w:rsid w:val="00B81166"/>
    <w:rPr>
      <w:vertAlign w:val="superscript"/>
    </w:rPr>
  </w:style>
  <w:style w:type="paragraph" w:styleId="Encabezado">
    <w:name w:val="header"/>
    <w:basedOn w:val="Normal"/>
    <w:link w:val="EncabezadoCar"/>
    <w:uiPriority w:val="99"/>
    <w:unhideWhenUsed/>
    <w:rsid w:val="00E20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D3F"/>
  </w:style>
  <w:style w:type="paragraph" w:styleId="Piedepgina">
    <w:name w:val="footer"/>
    <w:basedOn w:val="Normal"/>
    <w:link w:val="PiedepginaCar"/>
    <w:uiPriority w:val="99"/>
    <w:unhideWhenUsed/>
    <w:rsid w:val="00E20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3AF7"/>
    <w:pPr>
      <w:ind w:left="720"/>
      <w:contextualSpacing/>
    </w:pPr>
  </w:style>
  <w:style w:type="paragraph" w:styleId="Textonotapie">
    <w:name w:val="footnote text"/>
    <w:basedOn w:val="Normal"/>
    <w:link w:val="TextonotapieCar"/>
    <w:uiPriority w:val="99"/>
    <w:semiHidden/>
    <w:unhideWhenUsed/>
    <w:rsid w:val="00B811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1166"/>
    <w:rPr>
      <w:sz w:val="20"/>
      <w:szCs w:val="20"/>
    </w:rPr>
  </w:style>
  <w:style w:type="character" w:styleId="Refdenotaalpie">
    <w:name w:val="footnote reference"/>
    <w:basedOn w:val="Fuentedeprrafopredeter"/>
    <w:uiPriority w:val="99"/>
    <w:semiHidden/>
    <w:unhideWhenUsed/>
    <w:rsid w:val="00B81166"/>
    <w:rPr>
      <w:vertAlign w:val="superscript"/>
    </w:rPr>
  </w:style>
  <w:style w:type="paragraph" w:styleId="Encabezado">
    <w:name w:val="header"/>
    <w:basedOn w:val="Normal"/>
    <w:link w:val="EncabezadoCar"/>
    <w:uiPriority w:val="99"/>
    <w:unhideWhenUsed/>
    <w:rsid w:val="00E20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D3F"/>
  </w:style>
  <w:style w:type="paragraph" w:styleId="Piedepgina">
    <w:name w:val="footer"/>
    <w:basedOn w:val="Normal"/>
    <w:link w:val="PiedepginaCar"/>
    <w:uiPriority w:val="99"/>
    <w:unhideWhenUsed/>
    <w:rsid w:val="00E20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1721</Words>
  <Characters>9468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dc:creator>
  <cp:lastModifiedBy>Francisco Javier</cp:lastModifiedBy>
  <cp:revision>2</cp:revision>
  <dcterms:created xsi:type="dcterms:W3CDTF">2013-08-19T13:02:00Z</dcterms:created>
  <dcterms:modified xsi:type="dcterms:W3CDTF">2013-08-19T13:02:00Z</dcterms:modified>
</cp:coreProperties>
</file>