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14:paraId="24681B4D" w14:textId="77777777" w:rsidTr="009E237A">
        <w:tc>
          <w:tcPr>
            <w:tcW w:w="9288" w:type="dxa"/>
            <w:gridSpan w:val="5"/>
            <w:shd w:val="clear" w:color="auto" w:fill="D9D9D9" w:themeFill="background1" w:themeFillShade="D9"/>
          </w:tcPr>
          <w:p w14:paraId="75D5C15E" w14:textId="35180A48" w:rsidR="00364DA4" w:rsidRPr="00556E76" w:rsidRDefault="00364DA4" w:rsidP="0011629C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011BCD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</w:t>
            </w:r>
            <w:r w:rsidR="009670BB">
              <w:rPr>
                <w:rFonts w:ascii="Arial Narrow" w:hAnsi="Arial Narrow" w:cs="Times New Roman"/>
                <w:b/>
                <w:sz w:val="28"/>
                <w:szCs w:val="24"/>
              </w:rPr>
              <w:t>Primavera</w:t>
            </w:r>
            <w:r w:rsidR="0011629C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20</w:t>
            </w:r>
            <w:r w:rsidR="0031058C">
              <w:rPr>
                <w:rFonts w:ascii="Arial Narrow" w:hAnsi="Arial Narrow" w:cs="Times New Roman"/>
                <w:b/>
                <w:sz w:val="28"/>
                <w:szCs w:val="24"/>
              </w:rPr>
              <w:t>2</w:t>
            </w:r>
            <w:r w:rsidR="00194EEA">
              <w:rPr>
                <w:rFonts w:ascii="Arial Narrow" w:hAnsi="Arial Narrow" w:cs="Times New Roman"/>
                <w:b/>
                <w:sz w:val="28"/>
                <w:szCs w:val="24"/>
              </w:rPr>
              <w:t>1</w:t>
            </w:r>
          </w:p>
        </w:tc>
      </w:tr>
      <w:tr w:rsidR="006B387D" w:rsidRPr="00556E76" w14:paraId="256F4961" w14:textId="77777777" w:rsidTr="009E237A">
        <w:tc>
          <w:tcPr>
            <w:tcW w:w="9288" w:type="dxa"/>
            <w:gridSpan w:val="5"/>
          </w:tcPr>
          <w:p w14:paraId="48EC1F08" w14:textId="77777777" w:rsidR="006B387D" w:rsidRPr="006B387D" w:rsidRDefault="006B387D" w:rsidP="00964244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964244">
              <w:rPr>
                <w:rFonts w:ascii="Arial Narrow" w:hAnsi="Arial Narrow" w:cs="Times New Roman"/>
                <w:b/>
                <w:sz w:val="24"/>
                <w:szCs w:val="24"/>
              </w:rPr>
              <w:t>SEMINARIO II</w:t>
            </w:r>
            <w:r w:rsidR="002F37B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B4611D">
              <w:rPr>
                <w:rFonts w:ascii="Arial Narrow" w:hAnsi="Arial Narrow"/>
                <w:b/>
                <w:sz w:val="24"/>
                <w:szCs w:val="24"/>
              </w:rPr>
              <w:t>(AUG –</w:t>
            </w:r>
            <w:r w:rsidR="004A207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64244">
              <w:rPr>
                <w:rFonts w:ascii="Arial Narrow" w:hAnsi="Arial Narrow"/>
                <w:b/>
                <w:sz w:val="24"/>
                <w:szCs w:val="24"/>
              </w:rPr>
              <w:t>80001</w:t>
            </w:r>
            <w:r w:rsidR="008E3AEA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6B387D" w:rsidRPr="00556E76" w14:paraId="053A0423" w14:textId="77777777" w:rsidTr="009E237A">
        <w:tc>
          <w:tcPr>
            <w:tcW w:w="9288" w:type="dxa"/>
            <w:gridSpan w:val="5"/>
          </w:tcPr>
          <w:p w14:paraId="395ECF0D" w14:textId="77777777" w:rsidR="006B387D" w:rsidRPr="00F24C62" w:rsidRDefault="006B387D" w:rsidP="00964244">
            <w:pPr>
              <w:pStyle w:val="Prrafodelista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eastAsia="es-CL"/>
              </w:rPr>
            </w:pPr>
            <w:r w:rsidRPr="00F24C6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Inglés:  </w:t>
            </w:r>
          </w:p>
        </w:tc>
      </w:tr>
      <w:tr w:rsidR="006B387D" w:rsidRPr="00556E76" w14:paraId="6CD6D5C7" w14:textId="77777777" w:rsidTr="009E237A">
        <w:tc>
          <w:tcPr>
            <w:tcW w:w="9288" w:type="dxa"/>
            <w:gridSpan w:val="5"/>
          </w:tcPr>
          <w:p w14:paraId="1DBD6119" w14:textId="77777777"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14:paraId="0542C045" w14:textId="77777777"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6B67D1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14:paraId="27E3C6BB" w14:textId="77777777" w:rsidTr="009E237A">
        <w:tc>
          <w:tcPr>
            <w:tcW w:w="4644" w:type="dxa"/>
            <w:gridSpan w:val="3"/>
          </w:tcPr>
          <w:p w14:paraId="08D434C6" w14:textId="77777777"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14:paraId="4FF93E9C" w14:textId="77777777" w:rsidR="0025438E" w:rsidRPr="0025438E" w:rsidRDefault="0025438E" w:rsidP="00CE745B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="007B6C27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</w:tr>
      <w:tr w:rsidR="006B387D" w:rsidRPr="00556E76" w14:paraId="104A64C9" w14:textId="77777777" w:rsidTr="009E237A">
        <w:tc>
          <w:tcPr>
            <w:tcW w:w="3096" w:type="dxa"/>
          </w:tcPr>
          <w:p w14:paraId="684BC887" w14:textId="77777777"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14:paraId="3E58BFA8" w14:textId="77777777" w:rsidR="006B387D" w:rsidRPr="0025438E" w:rsidRDefault="007B6C27" w:rsidP="00B4611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6B387D" w:rsidRPr="0025438E">
              <w:rPr>
                <w:rFonts w:ascii="Arial Narrow" w:hAnsi="Arial Narrow" w:cs="Times New Roman"/>
                <w:sz w:val="24"/>
                <w:szCs w:val="24"/>
              </w:rPr>
              <w:t>horas/semana</w:t>
            </w:r>
          </w:p>
        </w:tc>
        <w:tc>
          <w:tcPr>
            <w:tcW w:w="3096" w:type="dxa"/>
            <w:gridSpan w:val="3"/>
          </w:tcPr>
          <w:p w14:paraId="6DBD56FC" w14:textId="77777777"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14:paraId="13BF0247" w14:textId="77777777" w:rsidR="006B387D" w:rsidRPr="0025438E" w:rsidRDefault="007B6C27" w:rsidP="007B6C27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4,5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horas DD / 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25438E" w:rsidRPr="0025438E">
              <w:rPr>
                <w:rFonts w:ascii="Arial Narrow" w:hAnsi="Arial Narrow" w:cs="Times New Roman"/>
                <w:sz w:val="24"/>
                <w:szCs w:val="24"/>
              </w:rPr>
              <w:t>,5 horas DI</w:t>
            </w:r>
          </w:p>
        </w:tc>
        <w:tc>
          <w:tcPr>
            <w:tcW w:w="3096" w:type="dxa"/>
          </w:tcPr>
          <w:p w14:paraId="21C713AB" w14:textId="77777777"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14:paraId="6D4A5199" w14:textId="77777777"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Cátedra: </w:t>
            </w:r>
            <w:r w:rsidR="002F37B9">
              <w:rPr>
                <w:rFonts w:ascii="Arial Narrow" w:hAnsi="Arial Narrow" w:cs="Times New Roman"/>
                <w:sz w:val="24"/>
                <w:szCs w:val="24"/>
              </w:rPr>
              <w:t>1,5</w:t>
            </w:r>
            <w:r w:rsidR="00614B3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horas</w:t>
            </w:r>
          </w:p>
          <w:p w14:paraId="5729498D" w14:textId="77777777" w:rsidR="00B4611D" w:rsidRPr="002F37B9" w:rsidRDefault="0025438E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  <w:p w14:paraId="65F78082" w14:textId="77777777" w:rsidR="002F37B9" w:rsidRPr="007B6C27" w:rsidRDefault="002F37B9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Terreno: 1,5 horas</w:t>
            </w:r>
          </w:p>
          <w:p w14:paraId="6309F6B5" w14:textId="77777777" w:rsidR="007B6C27" w:rsidRPr="00B0406D" w:rsidRDefault="007B6C27" w:rsidP="004C6E3B">
            <w:pPr>
              <w:pStyle w:val="Prrafodelista"/>
              <w:spacing w:before="40" w:after="40"/>
              <w:ind w:left="185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9E237A" w:rsidRPr="00556E76" w14:paraId="52CED541" w14:textId="77777777" w:rsidTr="009E237A">
        <w:tc>
          <w:tcPr>
            <w:tcW w:w="9288" w:type="dxa"/>
            <w:gridSpan w:val="5"/>
          </w:tcPr>
          <w:p w14:paraId="11091D22" w14:textId="64B4965B" w:rsidR="009E237A" w:rsidRDefault="00447965" w:rsidP="0031058C">
            <w:pPr>
              <w:pStyle w:val="Prrafodelista"/>
              <w:numPr>
                <w:ilvl w:val="0"/>
                <w:numId w:val="11"/>
              </w:num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</w:t>
            </w:r>
            <w:r w:rsidR="00231E40">
              <w:rPr>
                <w:rFonts w:ascii="Arial Narrow" w:hAnsi="Arial Narrow" w:cs="Times New Roman"/>
                <w:sz w:val="24"/>
                <w:szCs w:val="24"/>
              </w:rPr>
              <w:t>Michael Lukas</w:t>
            </w:r>
          </w:p>
          <w:p w14:paraId="25AF57FA" w14:textId="517853B1" w:rsidR="003D154F" w:rsidRPr="00F24C62" w:rsidRDefault="003D154F" w:rsidP="0031058C">
            <w:pPr>
              <w:pStyle w:val="Prrafodelista"/>
              <w:numPr>
                <w:ilvl w:val="0"/>
                <w:numId w:val="11"/>
              </w:num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Ayudante: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C13625">
              <w:rPr>
                <w:rFonts w:ascii="Arial Narrow" w:hAnsi="Arial Narrow" w:cs="Times New Roman"/>
                <w:sz w:val="24"/>
                <w:szCs w:val="24"/>
              </w:rPr>
              <w:t>Por definir</w:t>
            </w:r>
          </w:p>
        </w:tc>
      </w:tr>
      <w:tr w:rsidR="0025438E" w:rsidRPr="00556E76" w14:paraId="7220AC41" w14:textId="77777777" w:rsidTr="009E237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14:paraId="63D80ABC" w14:textId="77777777" w:rsidR="0025438E" w:rsidRPr="0025438E" w:rsidRDefault="0025438E" w:rsidP="00964244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="00964244">
              <w:rPr>
                <w:rFonts w:ascii="Arial Narrow" w:hAnsi="Arial Narrow" w:cs="Times New Roman"/>
                <w:sz w:val="24"/>
                <w:szCs w:val="24"/>
              </w:rPr>
              <w:t>Práctica Intermedia II</w:t>
            </w:r>
          </w:p>
        </w:tc>
      </w:tr>
      <w:tr w:rsidR="008366F1" w:rsidRPr="009F401A" w14:paraId="026CF750" w14:textId="77777777" w:rsidTr="009E237A">
        <w:trPr>
          <w:trHeight w:val="1528"/>
        </w:trPr>
        <w:tc>
          <w:tcPr>
            <w:tcW w:w="3652" w:type="dxa"/>
            <w:gridSpan w:val="2"/>
          </w:tcPr>
          <w:p w14:paraId="6A7D3146" w14:textId="77777777" w:rsidR="008366F1" w:rsidRPr="009F401A" w:rsidRDefault="008366F1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14:paraId="5FD8276A" w14:textId="77777777" w:rsidR="008366F1" w:rsidRPr="00084BE5" w:rsidRDefault="00964244" w:rsidP="00447965">
            <w:pPr>
              <w:jc w:val="both"/>
              <w:rPr>
                <w:rFonts w:ascii="Arial Narrow" w:hAnsi="Arial Narrow"/>
                <w:b/>
              </w:rPr>
            </w:pPr>
            <w:r w:rsidRPr="003128ED">
              <w:rPr>
                <w:rFonts w:ascii="Arial Narrow" w:hAnsi="Arial Narrow" w:cs="Times New Roman"/>
                <w:sz w:val="24"/>
                <w:szCs w:val="24"/>
              </w:rPr>
              <w:t>Este espacio formativo pretende habilitar al estudiante para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analizar,</w:t>
            </w:r>
            <w:r w:rsidRPr="003128ED">
              <w:rPr>
                <w:rFonts w:ascii="Arial Narrow" w:hAnsi="Arial Narrow" w:cs="Times New Roman"/>
                <w:sz w:val="24"/>
                <w:szCs w:val="24"/>
              </w:rPr>
              <w:t xml:space="preserve"> d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>iscutir teorías y modelos geográficos y de otras disciplinas que permiten sistematizar el conocimiento disponible respecto a las concepciones sociales, ambientales, físicas y económicas del territorio a diferentes escalas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2F37B9" w:rsidRPr="009F401A" w14:paraId="7CB0C59B" w14:textId="77777777" w:rsidTr="003D154F">
        <w:tc>
          <w:tcPr>
            <w:tcW w:w="3652" w:type="dxa"/>
            <w:gridSpan w:val="2"/>
          </w:tcPr>
          <w:p w14:paraId="29585776" w14:textId="77777777" w:rsidR="002F37B9" w:rsidRPr="00614B30" w:rsidRDefault="002F37B9" w:rsidP="002F37B9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4B30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</w:tcPr>
          <w:p w14:paraId="3D200178" w14:textId="77777777" w:rsidR="00964244" w:rsidRPr="003128ED" w:rsidRDefault="00964244" w:rsidP="0096424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128ED">
              <w:rPr>
                <w:rFonts w:ascii="Arial Narrow" w:hAnsi="Arial Narrow" w:cs="Arial"/>
                <w:b/>
                <w:sz w:val="24"/>
                <w:szCs w:val="24"/>
              </w:rPr>
              <w:t>P.1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Integrar y analizar antecedentes sociales, biofísicos, culturales, institucionales  normativos pertinentes a una problemática territorial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con el objeto de elaborar un diagnóstico integrado</w:t>
            </w:r>
          </w:p>
          <w:p w14:paraId="0FE51A89" w14:textId="77777777" w:rsidR="00964244" w:rsidRPr="003128ED" w:rsidRDefault="00964244" w:rsidP="0096424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128ED">
              <w:rPr>
                <w:rFonts w:ascii="Arial Narrow" w:hAnsi="Arial Narrow" w:cs="Arial"/>
                <w:b/>
                <w:sz w:val="24"/>
                <w:szCs w:val="24"/>
              </w:rPr>
              <w:t>P.2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Identificar y delinear con claridad y responsabilidad objetivos o metas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a alcanzar por una intervención territorial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dada. </w:t>
            </w:r>
          </w:p>
          <w:p w14:paraId="6337A740" w14:textId="77777777" w:rsidR="00964244" w:rsidRPr="003128ED" w:rsidRDefault="00964244" w:rsidP="0096424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128ED">
              <w:rPr>
                <w:rFonts w:ascii="Arial Narrow" w:hAnsi="Arial Narrow" w:cs="Arial"/>
                <w:b/>
                <w:sz w:val="24"/>
                <w:szCs w:val="24"/>
              </w:rPr>
              <w:t>P.3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Diseñar y construir herramientas, estrategias e instrumentos de carácter territorial, orientados a un desarrollo equilibrado y sustentable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>, por medio de articular las diferentes necesidades e intereses sociales y reconocer el funcionamiento de los ecosistemas.</w:t>
            </w:r>
          </w:p>
          <w:p w14:paraId="691825E7" w14:textId="77777777" w:rsidR="00964244" w:rsidRPr="003128ED" w:rsidRDefault="00964244" w:rsidP="0096424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128ED">
              <w:rPr>
                <w:rFonts w:ascii="Arial Narrow" w:hAnsi="Arial Narrow" w:cs="Arial"/>
                <w:b/>
                <w:sz w:val="24"/>
                <w:szCs w:val="24"/>
              </w:rPr>
              <w:t>G.1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Organizar el uso de recursos para el logro de los objetivos de las políticas, planes, programas y proyectos que se aplican en el territorio,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considerando criterios de sustentabilidad territorial.</w:t>
            </w:r>
          </w:p>
          <w:p w14:paraId="5E72FF16" w14:textId="77777777" w:rsidR="002F37B9" w:rsidRPr="00084BE5" w:rsidRDefault="00964244" w:rsidP="00964244">
            <w:pPr>
              <w:jc w:val="both"/>
              <w:rPr>
                <w:rFonts w:ascii="Arial Narrow" w:eastAsia="Times New Roman" w:hAnsi="Arial Narrow" w:cs="Calibri"/>
                <w:lang w:eastAsia="es-CL"/>
              </w:rPr>
            </w:pPr>
            <w:r w:rsidRPr="003128ED">
              <w:rPr>
                <w:rFonts w:ascii="Arial Narrow" w:hAnsi="Arial Narrow" w:cs="Arial"/>
                <w:b/>
                <w:sz w:val="24"/>
                <w:szCs w:val="24"/>
              </w:rPr>
              <w:t>G.2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Coordinar y controlar las actividades propias de la implementación de políticas, planes, programas y proyectos que se aplican en el territorio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t xml:space="preserve">, considerando </w:t>
            </w:r>
            <w:r w:rsidRPr="003128ED">
              <w:rPr>
                <w:rFonts w:ascii="Arial Narrow" w:hAnsi="Arial Narrow" w:cs="Arial"/>
                <w:sz w:val="24"/>
                <w:szCs w:val="24"/>
              </w:rPr>
              <w:lastRenderedPageBreak/>
              <w:t>criterios de sustentabilidad territorial.</w:t>
            </w:r>
          </w:p>
        </w:tc>
      </w:tr>
      <w:tr w:rsidR="00084BE5" w:rsidRPr="009F401A" w14:paraId="51B3756E" w14:textId="77777777" w:rsidTr="003D154F">
        <w:tc>
          <w:tcPr>
            <w:tcW w:w="3652" w:type="dxa"/>
            <w:gridSpan w:val="2"/>
          </w:tcPr>
          <w:p w14:paraId="2499CA9D" w14:textId="77777777" w:rsidR="00084BE5" w:rsidRPr="009D22AB" w:rsidRDefault="00084BE5" w:rsidP="00084BE5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2AB">
              <w:rPr>
                <w:rFonts w:ascii="Arial Narrow" w:hAnsi="Arial Narrow"/>
                <w:b/>
                <w:sz w:val="24"/>
                <w:szCs w:val="24"/>
              </w:rPr>
              <w:lastRenderedPageBreak/>
              <w:t>9. Subcompetencias</w:t>
            </w:r>
          </w:p>
        </w:tc>
        <w:tc>
          <w:tcPr>
            <w:tcW w:w="5636" w:type="dxa"/>
            <w:gridSpan w:val="3"/>
            <w:shd w:val="clear" w:color="auto" w:fill="auto"/>
          </w:tcPr>
          <w:p w14:paraId="3AFEB3E4" w14:textId="77777777"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P.1.3.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 Definiendo la(s) principal(es) temática(s) o problemática(s) de orden territorial, que necesitan una solución o manejo.</w:t>
            </w:r>
          </w:p>
          <w:p w14:paraId="5847F6E9" w14:textId="77777777"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P.2.1.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 Entendiendo y Seleccionando en profundidad los escenarios y dinámicas territoriales frente a los impactos o efectos de un determinado problema.</w:t>
            </w:r>
          </w:p>
          <w:p w14:paraId="5BD8349D" w14:textId="77777777"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P.2.2.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 Orientando el enfoque y énfasis, de cómo será abordado, desarrollado y solucionado, la problemática o temática territorial, en pro de un desarrollo equilibrado y sustentable.</w:t>
            </w:r>
          </w:p>
          <w:p w14:paraId="1067616D" w14:textId="77777777"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P.3.2.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 Asegurando la coherencia y complementariedad de las herramientas o instrumentos con las diversas escalas territoriales, permitiendo su adecuada aplicación.</w:t>
            </w:r>
          </w:p>
          <w:p w14:paraId="691145C6" w14:textId="77777777"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P.3.3.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 Ordenando y Ajustando las etapas de las herramientas, estrategias, instrumentos de carácter territorial, para el cumplimiento de un objetivo o meta.</w:t>
            </w:r>
          </w:p>
          <w:p w14:paraId="56AE9917" w14:textId="77777777"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P.3.4.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 Desarrollando análisis prospectivos que integren los diferentes actores, relaciones y procesos territoriales, que permitan (1) un mejor diseño de herramientas, estrategias e instrumentos de carácter territorial, y (2) la evaluación de los potenciales efectos de la implementación de estos.</w:t>
            </w:r>
          </w:p>
          <w:p w14:paraId="0333F13C" w14:textId="77777777"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G.1.1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>. Organizando secuencialmente las acciones y actividades necesarias para la ejecución de políticas, planes, programas o proyectos de carácter territorial.</w:t>
            </w:r>
          </w:p>
          <w:p w14:paraId="7ABA3128" w14:textId="77777777"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G.1.2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>. Identificando a los distintos actores y recursos necesarios en el proceso de implementación de las políticas, planes, programas y proyectos territoriales.</w:t>
            </w:r>
          </w:p>
          <w:p w14:paraId="53FCCBBC" w14:textId="77777777"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G.1.3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 xml:space="preserve">. Identificando metodologías existentes que permitan el trabajo integrado de diferentes disciplinas, actores y recursos en torno al proceso de implementación de las políticas, planes, programas y proyectos territoriales. </w:t>
            </w:r>
          </w:p>
          <w:p w14:paraId="2420D3F9" w14:textId="77777777"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G.2.1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>. Diseñando y aplicando indicadores e instrumentos que permitan el seguimiento de políticas planes, programas o proyectos territoriales.</w:t>
            </w:r>
          </w:p>
          <w:p w14:paraId="1A70C7C8" w14:textId="77777777"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G.2.2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>. Estableciendo mecanismos de control que garanticen una implementación optima de las Políticas Públicas</w:t>
            </w:r>
          </w:p>
          <w:p w14:paraId="73AD12B4" w14:textId="77777777" w:rsidR="00084BE5" w:rsidRPr="00084BE5" w:rsidRDefault="00084BE5" w:rsidP="00084BE5">
            <w:pPr>
              <w:jc w:val="both"/>
              <w:rPr>
                <w:rFonts w:ascii="Arial Narrow" w:eastAsia="Times New Roman" w:hAnsi="Arial Narrow" w:cs="Calibri"/>
                <w:szCs w:val="24"/>
                <w:lang w:eastAsia="es-CL"/>
              </w:rPr>
            </w:pPr>
            <w:r w:rsidRPr="00084BE5">
              <w:rPr>
                <w:rFonts w:ascii="Arial Narrow" w:eastAsia="Times New Roman" w:hAnsi="Arial Narrow" w:cs="Calibri"/>
                <w:b/>
                <w:szCs w:val="24"/>
                <w:lang w:eastAsia="es-CL"/>
              </w:rPr>
              <w:t>G.2.3</w:t>
            </w:r>
            <w:r w:rsidRPr="00084BE5">
              <w:rPr>
                <w:rFonts w:ascii="Arial Narrow" w:eastAsia="Times New Roman" w:hAnsi="Arial Narrow" w:cs="Calibri"/>
                <w:szCs w:val="24"/>
                <w:lang w:eastAsia="es-CL"/>
              </w:rPr>
              <w:t>. Fomentando espacios de discusión entre los diversos actores que se vinculan con el proceso de implementación de las políticas, planes, programas y proyectos.</w:t>
            </w:r>
            <w:r w:rsidRPr="00084BE5">
              <w:rPr>
                <w:rFonts w:eastAsia="Times New Roman" w:cs="Arial"/>
                <w:color w:val="000000"/>
              </w:rPr>
              <w:t xml:space="preserve"> </w:t>
            </w:r>
          </w:p>
        </w:tc>
      </w:tr>
      <w:tr w:rsidR="00084BE5" w:rsidRPr="009F401A" w14:paraId="7C5BC8D0" w14:textId="77777777" w:rsidTr="009E237A">
        <w:tc>
          <w:tcPr>
            <w:tcW w:w="3652" w:type="dxa"/>
            <w:gridSpan w:val="2"/>
          </w:tcPr>
          <w:p w14:paraId="6CACE87B" w14:textId="77777777" w:rsidR="00084BE5" w:rsidRPr="009F401A" w:rsidRDefault="00084BE5" w:rsidP="00084BE5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14:paraId="405FA9A0" w14:textId="77777777" w:rsidR="00084BE5" w:rsidRPr="00084BE5" w:rsidRDefault="00084BE5" w:rsidP="00084BE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 Narrow" w:eastAsia="Cambria" w:hAnsi="Arial Narrow" w:cs="Times New Roman"/>
                <w:color w:val="000000"/>
                <w:szCs w:val="24"/>
              </w:rPr>
            </w:pPr>
            <w:r w:rsidRPr="00084BE5">
              <w:rPr>
                <w:rFonts w:ascii="Arial Narrow" w:eastAsia="Cambria" w:hAnsi="Arial Narrow" w:cs="Times New Roman"/>
                <w:color w:val="000000"/>
                <w:szCs w:val="24"/>
              </w:rPr>
              <w:t xml:space="preserve">Se </w:t>
            </w:r>
            <w:r w:rsidR="00964244" w:rsidRPr="00084BE5">
              <w:rPr>
                <w:rFonts w:ascii="Arial Narrow" w:eastAsia="Cambria" w:hAnsi="Arial Narrow" w:cs="Times New Roman"/>
                <w:color w:val="000000"/>
                <w:szCs w:val="24"/>
              </w:rPr>
              <w:t>trabajarán</w:t>
            </w:r>
            <w:r w:rsidRPr="00084BE5">
              <w:rPr>
                <w:rFonts w:ascii="Arial Narrow" w:eastAsia="Cambria" w:hAnsi="Arial Narrow" w:cs="Times New Roman"/>
                <w:color w:val="000000"/>
                <w:szCs w:val="24"/>
              </w:rPr>
              <w:t xml:space="preserve"> todas las competencias genéricas sello de la Universidad de Chile, pero con énfasis en las siguientes competencias: </w:t>
            </w:r>
          </w:p>
          <w:p w14:paraId="30FB2B2E" w14:textId="77777777"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Responsabilidad social y compromiso ciudadano</w:t>
            </w:r>
          </w:p>
          <w:p w14:paraId="2EB44533" w14:textId="77777777"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Capacidad crítica</w:t>
            </w:r>
          </w:p>
          <w:p w14:paraId="54CF85ED" w14:textId="77777777"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Valoración y respeto por la diversidad y multiculturalidad</w:t>
            </w:r>
          </w:p>
          <w:p w14:paraId="3851AB1E" w14:textId="77777777"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Compromiso ético</w:t>
            </w:r>
          </w:p>
          <w:p w14:paraId="301E6575" w14:textId="77777777"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 xml:space="preserve">Capacidad de comunicación oral y escrita </w:t>
            </w:r>
          </w:p>
          <w:p w14:paraId="1926FEE4" w14:textId="77777777"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Habilidad en el uso de las tecnologías de la información y de comunicación</w:t>
            </w:r>
          </w:p>
          <w:p w14:paraId="080D2BF3" w14:textId="77777777" w:rsidR="00084BE5" w:rsidRPr="00084BE5" w:rsidRDefault="00084BE5" w:rsidP="00084BE5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Capacidad de trabajo en equipo</w:t>
            </w:r>
          </w:p>
        </w:tc>
      </w:tr>
      <w:tr w:rsidR="00084BE5" w:rsidRPr="009F401A" w14:paraId="56999768" w14:textId="77777777" w:rsidTr="009E237A">
        <w:tc>
          <w:tcPr>
            <w:tcW w:w="9288" w:type="dxa"/>
            <w:gridSpan w:val="5"/>
          </w:tcPr>
          <w:p w14:paraId="6833D4F6" w14:textId="77777777"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B4611D">
              <w:rPr>
                <w:rFonts w:ascii="Arial Narrow" w:hAnsi="Arial Narrow"/>
                <w:b/>
              </w:rPr>
              <w:t xml:space="preserve">11. </w:t>
            </w:r>
            <w:r w:rsidR="00185550">
              <w:rPr>
                <w:rFonts w:ascii="Arial Narrow" w:hAnsi="Arial Narrow"/>
                <w:b/>
              </w:rPr>
              <w:t>Organización del curso</w:t>
            </w:r>
          </w:p>
          <w:p w14:paraId="6F52FD1C" w14:textId="77777777" w:rsidR="00C13625" w:rsidRDefault="00C13625" w:rsidP="00C13625">
            <w:pPr>
              <w:spacing w:after="0" w:line="240" w:lineRule="auto"/>
              <w:jc w:val="both"/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</w:pPr>
          </w:p>
          <w:p w14:paraId="2517F755" w14:textId="1414882A" w:rsidR="00185550" w:rsidRPr="00C13625" w:rsidRDefault="00031EEE" w:rsidP="00C13625">
            <w:pPr>
              <w:spacing w:after="0" w:line="240" w:lineRule="auto"/>
              <w:jc w:val="both"/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</w:pPr>
            <w:r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El curso </w:t>
            </w:r>
            <w:r w:rsidR="00290607"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apunta a</w:t>
            </w:r>
            <w:r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l desarrollo de</w:t>
            </w:r>
            <w:r w:rsid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 </w:t>
            </w:r>
            <w:r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proyecto</w:t>
            </w:r>
            <w:r w:rsid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s</w:t>
            </w:r>
            <w:r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 </w:t>
            </w:r>
            <w:r w:rsidR="00802EB2"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geográfico</w:t>
            </w:r>
            <w:r w:rsid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s</w:t>
            </w:r>
            <w:r w:rsidR="00802EB2"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 </w:t>
            </w:r>
            <w:r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colectivo</w:t>
            </w:r>
            <w:r w:rsid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s</w:t>
            </w:r>
            <w:r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 de investigación</w:t>
            </w:r>
            <w:r w:rsidR="00802EB2"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-acción en Santiago</w:t>
            </w:r>
            <w:r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 en el marco del momento particular que </w:t>
            </w:r>
            <w:r w:rsidR="00802EB2"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está</w:t>
            </w:r>
            <w:r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 viviendo </w:t>
            </w:r>
            <w:r w:rsidR="00802EB2"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el país</w:t>
            </w:r>
            <w:r w:rsid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 y la ciudad</w:t>
            </w:r>
            <w:r w:rsidR="00802EB2"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.</w:t>
            </w:r>
            <w:r w:rsid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 En este sentido, cada grupo de trabajo (de entre 2 a 3 estudiantes) define un problema social-urbano de su interés, elabora un análisis-diagnóstico (</w:t>
            </w:r>
            <w:r w:rsidR="00C13625"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movilizando los recursos y herramientas de geografía humana, urbana y política</w:t>
            </w:r>
            <w:r w:rsid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, entre otros, </w:t>
            </w:r>
            <w:r w:rsidR="00C13625"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adquiridas durante la carrera</w:t>
            </w:r>
            <w:r w:rsid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)</w:t>
            </w:r>
            <w:r w:rsidR="00C13625" w:rsidRP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 </w:t>
            </w:r>
            <w:r w:rsid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y desarrolla una estrategia de acción e intervención. El objetivo del curso es explorar la capacidad propositiva y de intervención de la geografía en debates y problemas urbanos contemporáneos, en esta ocasión con énfasis en el espacio público de Santiago. Ejemplos de temáticas por abordar son: análisis de la situación de los cabildos del estallido social y elaboración de una propuesta de continuidad y acción; la problemática del auge de los ‘sin techo’ en Santiago y estrategias de su </w:t>
            </w:r>
            <w:proofErr w:type="spellStart"/>
            <w:r w:rsid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visibilización</w:t>
            </w:r>
            <w:proofErr w:type="spellEnd"/>
            <w:r w:rsid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>;</w:t>
            </w:r>
            <w:r w:rsidR="00A72A9A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 la geografía de ollas comunes; nuevas prácticas migrantes; </w:t>
            </w:r>
            <w:r w:rsidR="00ED7A2D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estrategias para un urbanismo táctico contrahegemónico, </w:t>
            </w:r>
            <w:r w:rsidR="00A72A9A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entre varios otros.  </w:t>
            </w:r>
            <w:r w:rsidR="00C13625"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  <w:t xml:space="preserve">   </w:t>
            </w:r>
          </w:p>
          <w:p w14:paraId="23783BC4" w14:textId="77777777" w:rsidR="00185550" w:rsidRPr="00290607" w:rsidRDefault="00185550" w:rsidP="00290607">
            <w:pPr>
              <w:spacing w:after="0" w:line="240" w:lineRule="auto"/>
              <w:jc w:val="both"/>
              <w:rPr>
                <w:rFonts w:ascii="Arial Narrow" w:eastAsiaTheme="minorEastAsia" w:hAnsi="Arial Narrow"/>
                <w:color w:val="000000"/>
                <w:szCs w:val="24"/>
                <w:lang w:eastAsia="es-ES"/>
              </w:rPr>
            </w:pPr>
          </w:p>
        </w:tc>
      </w:tr>
      <w:tr w:rsidR="00084BE5" w:rsidRPr="009F401A" w14:paraId="165771F3" w14:textId="77777777" w:rsidTr="009E237A">
        <w:tc>
          <w:tcPr>
            <w:tcW w:w="9288" w:type="dxa"/>
            <w:gridSpan w:val="5"/>
          </w:tcPr>
          <w:p w14:paraId="7625771C" w14:textId="77777777" w:rsidR="00084BE5" w:rsidRPr="00031EEE" w:rsidRDefault="00084BE5" w:rsidP="00031EEE">
            <w:pPr>
              <w:jc w:val="both"/>
              <w:rPr>
                <w:rFonts w:ascii="Arial Narrow" w:hAnsi="Arial Narrow"/>
              </w:rPr>
            </w:pPr>
          </w:p>
        </w:tc>
      </w:tr>
      <w:tr w:rsidR="00084BE5" w:rsidRPr="009F401A" w14:paraId="200B72E4" w14:textId="77777777" w:rsidTr="009E237A">
        <w:tc>
          <w:tcPr>
            <w:tcW w:w="9288" w:type="dxa"/>
            <w:gridSpan w:val="5"/>
          </w:tcPr>
          <w:p w14:paraId="33BB25A9" w14:textId="77777777" w:rsidR="00084BE5" w:rsidRPr="004B221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2215">
              <w:rPr>
                <w:rFonts w:ascii="Arial Narrow" w:hAnsi="Arial Narrow"/>
                <w:b/>
              </w:rPr>
              <w:t>13. Metodología:</w:t>
            </w:r>
          </w:p>
          <w:p w14:paraId="2DA08895" w14:textId="77777777"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14:paraId="02A47AD9" w14:textId="77777777" w:rsidR="00084BE5" w:rsidRDefault="001253CB" w:rsidP="00084BE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253CB">
              <w:rPr>
                <w:rFonts w:ascii="Arial Narrow" w:hAnsi="Arial Narrow"/>
                <w:sz w:val="24"/>
                <w:szCs w:val="24"/>
              </w:rPr>
              <w:t>El c</w:t>
            </w:r>
            <w:r>
              <w:rPr>
                <w:rFonts w:ascii="Arial Narrow" w:hAnsi="Arial Narrow"/>
                <w:sz w:val="24"/>
                <w:szCs w:val="24"/>
              </w:rPr>
              <w:t>urso funciona en modalidad TALLER, en donde el trabajo de los/as estudiantes es fundamental.</w:t>
            </w:r>
          </w:p>
          <w:p w14:paraId="383CA82D" w14:textId="7DF6C447" w:rsidR="0061042E" w:rsidRPr="001253CB" w:rsidRDefault="0061042E" w:rsidP="00084BE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 estructura en clases sincrónicas de tipo metodológico, desarrollada tanto en formato plenario como acompañando cada grupo en la definición y diseño de su intervención.</w:t>
            </w:r>
            <w:r w:rsidR="00F226B3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De forma complementaria, </w:t>
            </w:r>
            <w:r w:rsidR="00290607">
              <w:rPr>
                <w:rFonts w:ascii="Arial Narrow" w:hAnsi="Arial Narrow"/>
                <w:sz w:val="24"/>
                <w:szCs w:val="24"/>
              </w:rPr>
              <w:t xml:space="preserve">se apunta al </w:t>
            </w:r>
            <w:r>
              <w:rPr>
                <w:rFonts w:ascii="Arial Narrow" w:hAnsi="Arial Narrow"/>
                <w:sz w:val="24"/>
                <w:szCs w:val="24"/>
              </w:rPr>
              <w:t>trabajo autónomo de los grupos</w:t>
            </w:r>
            <w:r w:rsidR="00290607">
              <w:rPr>
                <w:rFonts w:ascii="Arial Narrow" w:hAnsi="Arial Narrow"/>
                <w:sz w:val="24"/>
                <w:szCs w:val="24"/>
              </w:rPr>
              <w:t>, acompañado de clases asincrónicas y retroalimentación</w:t>
            </w:r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0A0C970D" w14:textId="77777777" w:rsidR="001253CB" w:rsidRPr="001253CB" w:rsidRDefault="001253CB" w:rsidP="00084BE5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84BE5" w:rsidRPr="009F401A" w14:paraId="58DB6428" w14:textId="77777777" w:rsidTr="009E237A">
        <w:tc>
          <w:tcPr>
            <w:tcW w:w="9288" w:type="dxa"/>
            <w:gridSpan w:val="5"/>
          </w:tcPr>
          <w:p w14:paraId="72434BE6" w14:textId="77777777"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14. Evaluación</w:t>
            </w:r>
          </w:p>
          <w:p w14:paraId="1AC3A3CE" w14:textId="77777777"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14:paraId="5A01AC7E" w14:textId="272AD5A8" w:rsidR="00A72A9A" w:rsidRPr="00A72A9A" w:rsidRDefault="00A72A9A" w:rsidP="00A72A9A">
            <w:pPr>
              <w:pStyle w:val="Encabezado"/>
              <w:tabs>
                <w:tab w:val="clear" w:pos="4419"/>
                <w:tab w:val="clear" w:pos="8838"/>
              </w:tabs>
              <w:ind w:right="53"/>
              <w:jc w:val="both"/>
              <w:rPr>
                <w:rFonts w:ascii="Arial Narrow" w:eastAsiaTheme="minorEastAsia" w:hAnsi="Arial Narrow"/>
                <w:color w:val="000000"/>
                <w:lang w:eastAsia="es-ES"/>
              </w:rPr>
            </w:pPr>
            <w:r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3 entregas y</w:t>
            </w:r>
            <w:r w:rsidR="004A6B3E" w:rsidRPr="004A6B3E"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 xml:space="preserve"> </w:t>
            </w:r>
            <w:r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p</w:t>
            </w:r>
            <w:r w:rsidR="00290607"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resentaciones (</w:t>
            </w:r>
            <w:r w:rsidR="00ED7A2D"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33</w:t>
            </w:r>
            <w:r w:rsidR="00290607" w:rsidRPr="004A6B3E"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%</w:t>
            </w:r>
            <w:r w:rsidR="00290607"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 xml:space="preserve"> cada</w:t>
            </w:r>
            <w:r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 xml:space="preserve"> </w:t>
            </w:r>
            <w:r w:rsidR="00290607"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una)</w:t>
            </w:r>
          </w:p>
          <w:p w14:paraId="47198312" w14:textId="77777777" w:rsidR="00A72A9A" w:rsidRPr="00A72A9A" w:rsidRDefault="00A72A9A" w:rsidP="00290607">
            <w:pPr>
              <w:pStyle w:val="Encabezado"/>
              <w:numPr>
                <w:ilvl w:val="0"/>
                <w:numId w:val="26"/>
              </w:numPr>
              <w:tabs>
                <w:tab w:val="clear" w:pos="4419"/>
                <w:tab w:val="clear" w:pos="8838"/>
              </w:tabs>
              <w:ind w:right="53"/>
              <w:jc w:val="both"/>
              <w:rPr>
                <w:rFonts w:ascii="Arial Narrow" w:eastAsiaTheme="minorEastAsia" w:hAnsi="Arial Narrow"/>
                <w:color w:val="000000"/>
                <w:lang w:eastAsia="es-ES"/>
              </w:rPr>
            </w:pPr>
            <w:r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Semana 5: identificación y descripción de problemática</w:t>
            </w:r>
          </w:p>
          <w:p w14:paraId="090B4100" w14:textId="5952AB4B" w:rsidR="00A72A9A" w:rsidRPr="00A72A9A" w:rsidRDefault="00A72A9A" w:rsidP="00290607">
            <w:pPr>
              <w:pStyle w:val="Encabezado"/>
              <w:numPr>
                <w:ilvl w:val="0"/>
                <w:numId w:val="26"/>
              </w:numPr>
              <w:tabs>
                <w:tab w:val="clear" w:pos="4419"/>
                <w:tab w:val="clear" w:pos="8838"/>
              </w:tabs>
              <w:ind w:right="53"/>
              <w:jc w:val="both"/>
              <w:rPr>
                <w:rFonts w:ascii="Arial Narrow" w:eastAsiaTheme="minorEastAsia" w:hAnsi="Arial Narrow"/>
                <w:color w:val="000000"/>
                <w:lang w:eastAsia="es-ES"/>
              </w:rPr>
            </w:pPr>
            <w:r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Semana 1</w:t>
            </w:r>
            <w:r w:rsidR="00ED7A2D"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1</w:t>
            </w:r>
            <w:r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: análisis y diagnóstico</w:t>
            </w:r>
          </w:p>
          <w:p w14:paraId="29574A9E" w14:textId="25E890CD" w:rsidR="004A6B3E" w:rsidRDefault="00A72A9A" w:rsidP="004A6B3E">
            <w:pPr>
              <w:pStyle w:val="Encabezado"/>
              <w:numPr>
                <w:ilvl w:val="0"/>
                <w:numId w:val="26"/>
              </w:numPr>
              <w:tabs>
                <w:tab w:val="clear" w:pos="4419"/>
                <w:tab w:val="clear" w:pos="8838"/>
              </w:tabs>
              <w:ind w:right="53"/>
              <w:jc w:val="both"/>
              <w:rPr>
                <w:rFonts w:ascii="Arial Narrow" w:eastAsiaTheme="minorEastAsia" w:hAnsi="Arial Narrow"/>
                <w:color w:val="000000"/>
                <w:lang w:eastAsia="es-ES"/>
              </w:rPr>
            </w:pPr>
            <w:r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Semana 1</w:t>
            </w:r>
            <w:r w:rsidR="00ED7A2D"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7</w:t>
            </w:r>
            <w:r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: estrategia de intervención-acción</w:t>
            </w:r>
            <w:r w:rsidR="00290607" w:rsidRPr="004A6B3E"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 xml:space="preserve"> </w:t>
            </w:r>
            <w:r w:rsidR="00ED7A2D">
              <w:rPr>
                <w:rFonts w:ascii="Arial Narrow" w:eastAsiaTheme="minorEastAsia" w:hAnsi="Arial Narrow" w:cstheme="minorBidi"/>
                <w:color w:val="000000"/>
                <w:sz w:val="22"/>
                <w:lang w:eastAsia="es-ES"/>
              </w:rPr>
              <w:t>(informe final)</w:t>
            </w:r>
          </w:p>
          <w:p w14:paraId="76669B36" w14:textId="77777777" w:rsidR="00ED7A2D" w:rsidRPr="00ED7A2D" w:rsidRDefault="00ED7A2D" w:rsidP="00ED7A2D">
            <w:pPr>
              <w:pStyle w:val="Encabezado"/>
              <w:tabs>
                <w:tab w:val="clear" w:pos="4419"/>
                <w:tab w:val="clear" w:pos="8838"/>
              </w:tabs>
              <w:ind w:left="720" w:right="53"/>
              <w:jc w:val="both"/>
              <w:rPr>
                <w:rFonts w:ascii="Arial Narrow" w:eastAsiaTheme="minorEastAsia" w:hAnsi="Arial Narrow"/>
                <w:color w:val="000000"/>
                <w:lang w:eastAsia="es-ES"/>
              </w:rPr>
            </w:pPr>
          </w:p>
          <w:p w14:paraId="14D666EB" w14:textId="77777777"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  <w:b/>
              </w:rPr>
              <w:t>Requisitos de aprobación:</w:t>
            </w:r>
            <w:r>
              <w:t xml:space="preserve"> </w:t>
            </w:r>
            <w:r w:rsidRPr="009F401A">
              <w:rPr>
                <w:rFonts w:ascii="Arial Narrow" w:hAnsi="Arial Narrow"/>
              </w:rPr>
              <w:t>Los definidos en el reglamento de Carrera y en el Programa de la asignatu</w:t>
            </w:r>
            <w:r>
              <w:rPr>
                <w:rFonts w:ascii="Arial Narrow" w:hAnsi="Arial Narrow"/>
              </w:rPr>
              <w:t>ra.</w:t>
            </w:r>
          </w:p>
          <w:p w14:paraId="0036FED8" w14:textId="77777777" w:rsidR="00290607" w:rsidRPr="009F401A" w:rsidRDefault="00290607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084BE5" w:rsidRPr="009F401A" w14:paraId="0042056D" w14:textId="77777777" w:rsidTr="009E237A">
        <w:tc>
          <w:tcPr>
            <w:tcW w:w="9288" w:type="dxa"/>
            <w:gridSpan w:val="5"/>
          </w:tcPr>
          <w:p w14:paraId="739E3B81" w14:textId="77777777"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551E6E">
              <w:rPr>
                <w:rFonts w:ascii="Arial Narrow" w:hAnsi="Arial Narrow"/>
                <w:b/>
              </w:rPr>
              <w:t>15. Palabras Clave:</w:t>
            </w:r>
          </w:p>
          <w:p w14:paraId="185DBE73" w14:textId="77777777" w:rsidR="00084BE5" w:rsidRPr="00AD3D1A" w:rsidRDefault="00084BE5" w:rsidP="00AD3D1A">
            <w:pPr>
              <w:pStyle w:val="Default"/>
              <w:spacing w:before="40" w:after="40"/>
              <w:jc w:val="both"/>
              <w:rPr>
                <w:rFonts w:ascii="Arial Narrow" w:hAnsi="Arial Narrow"/>
                <w:color w:val="auto"/>
              </w:rPr>
            </w:pPr>
          </w:p>
          <w:p w14:paraId="5F5FFB8C" w14:textId="49E47D8A" w:rsidR="00AD3D1A" w:rsidRPr="00AD3D1A" w:rsidRDefault="00A72A9A" w:rsidP="00AD3D1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auto"/>
              </w:rPr>
              <w:t>Geografía urbana, espacio público, investigación-acción, urbanismo táctico, planificación insurgente</w:t>
            </w:r>
          </w:p>
        </w:tc>
      </w:tr>
      <w:tr w:rsidR="00084BE5" w:rsidRPr="009F401A" w14:paraId="2A3AEAAB" w14:textId="77777777" w:rsidTr="009E237A">
        <w:tc>
          <w:tcPr>
            <w:tcW w:w="9288" w:type="dxa"/>
            <w:gridSpan w:val="5"/>
          </w:tcPr>
          <w:p w14:paraId="7FD6D8B9" w14:textId="77777777"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69A2">
              <w:rPr>
                <w:rFonts w:ascii="Arial Narrow" w:hAnsi="Arial Narrow"/>
                <w:b/>
              </w:rPr>
              <w:t>16. Bibliografía Obligatoria (no más de 5 textos)</w:t>
            </w:r>
          </w:p>
          <w:p w14:paraId="70451EE7" w14:textId="77777777"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14:paraId="26BF6926" w14:textId="43CE8A00" w:rsidR="00AD3D1A" w:rsidRDefault="00AD3D1A" w:rsidP="00AD3D1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1D293F">
              <w:rPr>
                <w:rFonts w:ascii="Arial Narrow" w:hAnsi="Arial Narrow"/>
              </w:rPr>
              <w:t>Canales Cerón, M</w:t>
            </w:r>
            <w:r w:rsidR="00A72A9A">
              <w:rPr>
                <w:rFonts w:ascii="Arial Narrow" w:hAnsi="Arial Narrow"/>
              </w:rPr>
              <w:t>.</w:t>
            </w:r>
            <w:r w:rsidRPr="001D293F">
              <w:rPr>
                <w:rFonts w:ascii="Arial Narrow" w:hAnsi="Arial Narrow"/>
              </w:rPr>
              <w:t xml:space="preserve"> (2006). </w:t>
            </w:r>
            <w:r w:rsidRPr="001D293F">
              <w:rPr>
                <w:rFonts w:ascii="Arial Narrow" w:hAnsi="Arial Narrow"/>
                <w:i/>
                <w:iCs/>
              </w:rPr>
              <w:t>Metodologías de la investigación social</w:t>
            </w:r>
            <w:r w:rsidRPr="001D293F">
              <w:rPr>
                <w:rFonts w:ascii="Arial Narrow" w:hAnsi="Arial Narrow"/>
              </w:rPr>
              <w:t>. LOM ediciones, Santiago.</w:t>
            </w:r>
          </w:p>
          <w:p w14:paraId="2915D0A5" w14:textId="77777777" w:rsidR="00A72A9A" w:rsidRDefault="00A72A9A" w:rsidP="00AD3D1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14:paraId="18319992" w14:textId="08330A11" w:rsidR="00AD3D1A" w:rsidRDefault="00A72A9A" w:rsidP="00AD3D1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A72A9A">
              <w:rPr>
                <w:rFonts w:ascii="Arial Narrow" w:hAnsi="Arial Narrow"/>
              </w:rPr>
              <w:t>Contreras-Cerón, J. B. (2021). Una reflexión sobre urbanismo táctico, periferia marginal y participación ciudadana. Revista Nodo,15(30), pp. 74-88</w:t>
            </w:r>
          </w:p>
          <w:p w14:paraId="4A442689" w14:textId="44F212B2" w:rsidR="00A72A9A" w:rsidRDefault="00A72A9A" w:rsidP="00AD3D1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14:paraId="082DA76F" w14:textId="787FF4E2" w:rsidR="00ED7A2D" w:rsidRDefault="00ED7A2D" w:rsidP="00ED7A2D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Manzi, G. (2020). </w:t>
            </w:r>
            <w:r w:rsidRPr="00ED7A2D">
              <w:rPr>
                <w:rFonts w:ascii="Arial Narrow" w:hAnsi="Arial Narrow"/>
              </w:rPr>
              <w:t>La ciudad de Santiago resignificada como corporeidad comunicacional temporal en tiempos de estallido social.</w:t>
            </w:r>
            <w:r>
              <w:rPr>
                <w:rFonts w:ascii="Arial Narrow" w:hAnsi="Arial Narrow"/>
              </w:rPr>
              <w:t xml:space="preserve"> </w:t>
            </w:r>
            <w:r w:rsidRPr="00ED7A2D">
              <w:rPr>
                <w:rFonts w:ascii="Arial Narrow" w:hAnsi="Arial Narrow"/>
              </w:rPr>
              <w:t>Arquitecturas del Sur 38(57):162-181</w:t>
            </w:r>
          </w:p>
          <w:p w14:paraId="7ED8A3E3" w14:textId="77777777" w:rsidR="00ED7A2D" w:rsidRDefault="00ED7A2D" w:rsidP="00ED7A2D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14:paraId="0A70F385" w14:textId="155565C3" w:rsidR="00084BE5" w:rsidRPr="00DA6C91" w:rsidRDefault="00A72A9A" w:rsidP="00ED7A2D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proofErr w:type="spellStart"/>
            <w:r w:rsidRPr="00A72A9A">
              <w:rPr>
                <w:rFonts w:ascii="Arial Narrow" w:hAnsi="Arial Narrow"/>
              </w:rPr>
              <w:t>Miraftab</w:t>
            </w:r>
            <w:proofErr w:type="spellEnd"/>
            <w:r w:rsidRPr="00A72A9A">
              <w:rPr>
                <w:rFonts w:ascii="Arial Narrow" w:hAnsi="Arial Narrow"/>
              </w:rPr>
              <w:t>, F. (2018). Insurgencia, planificación y la perspectiva de un urbanismo humano. Territorios 38, 215-233.</w:t>
            </w:r>
          </w:p>
        </w:tc>
      </w:tr>
      <w:tr w:rsidR="00084BE5" w:rsidRPr="00ED7A2D" w14:paraId="40EAF469" w14:textId="77777777" w:rsidTr="009E237A">
        <w:tc>
          <w:tcPr>
            <w:tcW w:w="9288" w:type="dxa"/>
            <w:gridSpan w:val="5"/>
          </w:tcPr>
          <w:p w14:paraId="31496230" w14:textId="77777777" w:rsidR="00084BE5" w:rsidRPr="004B221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2215">
              <w:rPr>
                <w:rFonts w:ascii="Arial Narrow" w:hAnsi="Arial Narrow"/>
                <w:b/>
              </w:rPr>
              <w:lastRenderedPageBreak/>
              <w:t>17. Bibliografía Complementaria</w:t>
            </w:r>
          </w:p>
          <w:p w14:paraId="67488A86" w14:textId="77777777" w:rsidR="00084BE5" w:rsidRDefault="00084BE5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14:paraId="0FE3645B" w14:textId="77777777" w:rsidR="00AD3D1A" w:rsidRDefault="00ED7A2D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lang w:val="en-US"/>
              </w:rPr>
            </w:pPr>
            <w:r w:rsidRPr="00ED7A2D">
              <w:rPr>
                <w:rFonts w:ascii="Arial Narrow" w:hAnsi="Arial Narrow"/>
                <w:lang w:val="en-US"/>
              </w:rPr>
              <w:t xml:space="preserve">Low, S. (2017): </w:t>
            </w:r>
            <w:r w:rsidRPr="00ED7A2D">
              <w:rPr>
                <w:rFonts w:ascii="Arial Narrow" w:hAnsi="Arial Narrow"/>
                <w:lang w:val="en-US"/>
              </w:rPr>
              <w:t>Public Space and the Public Sphere: The Legacy of Neil Smith</w:t>
            </w:r>
            <w:r>
              <w:rPr>
                <w:rFonts w:ascii="Arial Narrow" w:hAnsi="Arial Narrow"/>
                <w:lang w:val="en-US"/>
              </w:rPr>
              <w:t xml:space="preserve">. Antipode 49(1): 153-170. </w:t>
            </w:r>
          </w:p>
          <w:p w14:paraId="4F145228" w14:textId="262118E4" w:rsidR="00ED7A2D" w:rsidRDefault="00ED7A2D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Qian, J. (2020): </w:t>
            </w:r>
            <w:r w:rsidRPr="00ED7A2D">
              <w:rPr>
                <w:rFonts w:ascii="Arial Narrow" w:hAnsi="Arial Narrow"/>
                <w:lang w:val="en-US"/>
              </w:rPr>
              <w:t>Geographies of public space: Variegated publicness, variegated epistemologies</w:t>
            </w:r>
            <w:r>
              <w:rPr>
                <w:rFonts w:ascii="Arial Narrow" w:hAnsi="Arial Narrow"/>
                <w:lang w:val="en-US"/>
              </w:rPr>
              <w:t xml:space="preserve">. Progress in Human Geography 44(1),  </w:t>
            </w:r>
            <w:hyperlink r:id="rId6" w:history="1">
              <w:r w:rsidRPr="00B03D7B">
                <w:rPr>
                  <w:rStyle w:val="Hipervnculo"/>
                  <w:rFonts w:ascii="Arial Narrow" w:hAnsi="Arial Narrow"/>
                  <w:lang w:val="en-US"/>
                </w:rPr>
                <w:t>https://journals.sagepub.com/doi/10.1177/0309132518817824</w:t>
              </w:r>
            </w:hyperlink>
          </w:p>
          <w:p w14:paraId="69E9944B" w14:textId="2857E5B6" w:rsidR="00ED7A2D" w:rsidRPr="00ED7A2D" w:rsidRDefault="00ED7A2D" w:rsidP="00084BE5">
            <w:pPr>
              <w:pStyle w:val="Default"/>
              <w:spacing w:before="40" w:after="40"/>
              <w:jc w:val="both"/>
              <w:rPr>
                <w:rFonts w:ascii="Arial Narrow" w:hAnsi="Arial Narrow"/>
                <w:lang w:val="en-US"/>
              </w:rPr>
            </w:pPr>
          </w:p>
        </w:tc>
      </w:tr>
      <w:tr w:rsidR="00084BE5" w:rsidRPr="009F401A" w14:paraId="42E1709B" w14:textId="77777777" w:rsidTr="009E237A">
        <w:tc>
          <w:tcPr>
            <w:tcW w:w="9288" w:type="dxa"/>
            <w:gridSpan w:val="5"/>
          </w:tcPr>
          <w:p w14:paraId="10AF40F5" w14:textId="77777777" w:rsidR="00084BE5" w:rsidRPr="00ED7A2D" w:rsidRDefault="00084BE5" w:rsidP="00084BE5">
            <w:pPr>
              <w:pStyle w:val="Default"/>
              <w:jc w:val="center"/>
              <w:rPr>
                <w:rFonts w:ascii="Arial Narrow" w:hAnsi="Arial Narrow"/>
                <w:b/>
                <w:lang w:val="en-US"/>
              </w:rPr>
            </w:pPr>
            <w:r w:rsidRPr="00ED7A2D">
              <w:rPr>
                <w:rFonts w:ascii="Arial Narrow" w:hAnsi="Arial Narrow"/>
                <w:b/>
                <w:lang w:val="en-US"/>
              </w:rPr>
              <w:t xml:space="preserve"> </w:t>
            </w:r>
          </w:p>
          <w:p w14:paraId="2E5B9E31" w14:textId="77777777" w:rsidR="00084BE5" w:rsidRDefault="00084BE5" w:rsidP="00084BE5">
            <w:pPr>
              <w:pStyle w:val="Default"/>
              <w:numPr>
                <w:ilvl w:val="0"/>
                <w:numId w:val="24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14:paraId="0BD09792" w14:textId="77777777" w:rsidR="00084BE5" w:rsidRPr="009F401A" w:rsidRDefault="00084BE5" w:rsidP="00084BE5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14:paraId="5C536061" w14:textId="77777777" w:rsidR="00084BE5" w:rsidRPr="009F401A" w:rsidRDefault="00084BE5" w:rsidP="00084BE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la asistencia a clases:</w:t>
            </w:r>
          </w:p>
          <w:p w14:paraId="05A546C1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La asistencia mínima a las actividades curriculares queda definida en el Reglamento General de los Estudios de Pregrado de la Facultad de Arquitectura y Urbanismo (Decreto Exento N°004041 del 21 de Enero de 2016), Artículo 21:</w:t>
            </w:r>
          </w:p>
          <w:p w14:paraId="3098019A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</w:p>
          <w:p w14:paraId="52824038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9F401A">
              <w:rPr>
                <w:rFonts w:ascii="Arial Narrow" w:hAnsi="Arial Narrow"/>
                <w:i/>
                <w:u w:val="single"/>
              </w:rPr>
              <w:t>no podrá ser menor al 75%</w:t>
            </w:r>
            <w:r w:rsidRPr="009F401A">
              <w:rPr>
                <w:rFonts w:ascii="Arial Narrow" w:hAnsi="Arial Narrow"/>
                <w:i/>
              </w:rPr>
              <w:t xml:space="preserve"> (…) El no cumplimiento de la asistencia mínima en los términos señalados en este artículo constituirá una causal de reprobación de la asignatura.</w:t>
            </w:r>
          </w:p>
          <w:p w14:paraId="69E684ED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14:paraId="4B86571B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</w:p>
          <w:p w14:paraId="7BC88CEF" w14:textId="77777777" w:rsidR="00084BE5" w:rsidRPr="009F401A" w:rsidRDefault="00084BE5" w:rsidP="00084BE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14:paraId="57D39CC4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14:paraId="6C31F36D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14:paraId="53548FD6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</w:p>
          <w:p w14:paraId="6E1EECAA" w14:textId="77777777" w:rsidR="00084BE5" w:rsidRPr="009F401A" w:rsidRDefault="00084BE5" w:rsidP="00084BE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14:paraId="336A337D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14:paraId="0C461476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la debida justificación a cualquier actividad evaluada, </w:t>
            </w:r>
            <w:r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14:paraId="778BA25E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 xml:space="preserve">, la que podrá ser presentada por otra persona distinta al estudiante y en su nombre, si es que éste no está en </w:t>
            </w:r>
            <w:r w:rsidRPr="009F401A">
              <w:rPr>
                <w:rFonts w:ascii="Arial Narrow" w:hAnsi="Arial Narrow"/>
                <w:i/>
              </w:rPr>
              <w:lastRenderedPageBreak/>
              <w:t>condiciones de hacerlo”.</w:t>
            </w:r>
          </w:p>
          <w:p w14:paraId="42E0F67F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</w:p>
          <w:p w14:paraId="4B5D33D6" w14:textId="77777777" w:rsidR="00084BE5" w:rsidRPr="009F401A" w:rsidRDefault="00084BE5" w:rsidP="00084BE5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14:paraId="519A8071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14:paraId="2F3E57E0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14:paraId="05BE0AA4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Establecida efectivamente la existencia de plagio y sin prejuicio de la medida disciplinaria aplicada, el/la profesor/a a cargo podrá calificar con nota 1,0 la actividad académica”.</w:t>
            </w:r>
          </w:p>
          <w:p w14:paraId="66AAD605" w14:textId="77777777" w:rsidR="00084BE5" w:rsidRPr="009F401A" w:rsidRDefault="00084BE5" w:rsidP="00084BE5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5DA9CEA3" w14:textId="77777777"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esultado de imagen para signo atencion" style="width:597.75pt;height:540pt;visibility:visible;mso-wrap-style:square" o:bullet="t">
        <v:imagedata r:id="rId1" o:title="Resultado de imagen para signo atencion"/>
      </v:shape>
    </w:pict>
  </w:numPicBullet>
  <w:abstractNum w:abstractNumId="0" w15:restartNumberingAfterBreak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4819D7"/>
    <w:multiLevelType w:val="hybridMultilevel"/>
    <w:tmpl w:val="32D21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36A75"/>
    <w:multiLevelType w:val="hybridMultilevel"/>
    <w:tmpl w:val="A30C8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84445"/>
    <w:multiLevelType w:val="hybridMultilevel"/>
    <w:tmpl w:val="AD5E7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1597C1C"/>
    <w:multiLevelType w:val="hybridMultilevel"/>
    <w:tmpl w:val="DA12674A"/>
    <w:lvl w:ilvl="0" w:tplc="D6F4059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722E9"/>
    <w:multiLevelType w:val="hybridMultilevel"/>
    <w:tmpl w:val="996E7510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F7161"/>
    <w:multiLevelType w:val="hybridMultilevel"/>
    <w:tmpl w:val="C400CD7C"/>
    <w:lvl w:ilvl="0" w:tplc="340A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1" w15:restartNumberingAfterBreak="0">
    <w:nsid w:val="58916C6F"/>
    <w:multiLevelType w:val="multilevel"/>
    <w:tmpl w:val="30A6C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33D0B"/>
    <w:multiLevelType w:val="multilevel"/>
    <w:tmpl w:val="3962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E759C"/>
    <w:multiLevelType w:val="hybridMultilevel"/>
    <w:tmpl w:val="B928B000"/>
    <w:lvl w:ilvl="0" w:tplc="1EFE6DC0">
      <w:start w:val="4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F136BF1"/>
    <w:multiLevelType w:val="hybridMultilevel"/>
    <w:tmpl w:val="FB44FF4A"/>
    <w:lvl w:ilvl="0" w:tplc="26F26D6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57A8B"/>
    <w:multiLevelType w:val="hybridMultilevel"/>
    <w:tmpl w:val="DA0EE698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57A24"/>
    <w:multiLevelType w:val="hybridMultilevel"/>
    <w:tmpl w:val="249E4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2" w15:restartNumberingAfterBreak="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6"/>
  </w:num>
  <w:num w:numId="4">
    <w:abstractNumId w:val="2"/>
  </w:num>
  <w:num w:numId="5">
    <w:abstractNumId w:val="2"/>
  </w:num>
  <w:num w:numId="6">
    <w:abstractNumId w:val="14"/>
  </w:num>
  <w:num w:numId="7">
    <w:abstractNumId w:val="2"/>
  </w:num>
  <w:num w:numId="8">
    <w:abstractNumId w:val="22"/>
  </w:num>
  <w:num w:numId="9">
    <w:abstractNumId w:val="23"/>
  </w:num>
  <w:num w:numId="10">
    <w:abstractNumId w:val="0"/>
  </w:num>
  <w:num w:numId="11">
    <w:abstractNumId w:val="12"/>
  </w:num>
  <w:num w:numId="12">
    <w:abstractNumId w:val="15"/>
  </w:num>
  <w:num w:numId="13">
    <w:abstractNumId w:val="1"/>
  </w:num>
  <w:num w:numId="14">
    <w:abstractNumId w:val="20"/>
  </w:num>
  <w:num w:numId="15">
    <w:abstractNumId w:val="9"/>
  </w:num>
  <w:num w:numId="16">
    <w:abstractNumId w:val="19"/>
  </w:num>
  <w:num w:numId="17">
    <w:abstractNumId w:val="21"/>
  </w:num>
  <w:num w:numId="18">
    <w:abstractNumId w:val="11"/>
  </w:num>
  <w:num w:numId="19">
    <w:abstractNumId w:val="13"/>
  </w:num>
  <w:num w:numId="20">
    <w:abstractNumId w:val="3"/>
  </w:num>
  <w:num w:numId="21">
    <w:abstractNumId w:val="6"/>
  </w:num>
  <w:num w:numId="22">
    <w:abstractNumId w:val="5"/>
  </w:num>
  <w:num w:numId="23">
    <w:abstractNumId w:val="18"/>
  </w:num>
  <w:num w:numId="24">
    <w:abstractNumId w:val="7"/>
  </w:num>
  <w:num w:numId="25">
    <w:abstractNumId w:val="10"/>
  </w:num>
  <w:num w:numId="26">
    <w:abstractNumId w:val="8"/>
  </w:num>
  <w:num w:numId="27">
    <w:abstractNumId w:val="1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A52"/>
    <w:rsid w:val="00011BCD"/>
    <w:rsid w:val="000164C9"/>
    <w:rsid w:val="00031EEE"/>
    <w:rsid w:val="00084BE5"/>
    <w:rsid w:val="000B36A0"/>
    <w:rsid w:val="000D2034"/>
    <w:rsid w:val="000D3FB6"/>
    <w:rsid w:val="0011629C"/>
    <w:rsid w:val="001253CB"/>
    <w:rsid w:val="00185550"/>
    <w:rsid w:val="00194EEA"/>
    <w:rsid w:val="001C3680"/>
    <w:rsid w:val="001D293F"/>
    <w:rsid w:val="00231E40"/>
    <w:rsid w:val="002323C0"/>
    <w:rsid w:val="00242A9E"/>
    <w:rsid w:val="0025438E"/>
    <w:rsid w:val="002747C7"/>
    <w:rsid w:val="002856AD"/>
    <w:rsid w:val="00290607"/>
    <w:rsid w:val="002A38B7"/>
    <w:rsid w:val="002C514A"/>
    <w:rsid w:val="002F12B7"/>
    <w:rsid w:val="002F37B9"/>
    <w:rsid w:val="003040E8"/>
    <w:rsid w:val="0031058C"/>
    <w:rsid w:val="00324895"/>
    <w:rsid w:val="00364DA4"/>
    <w:rsid w:val="003922D9"/>
    <w:rsid w:val="003B6AFC"/>
    <w:rsid w:val="003D154F"/>
    <w:rsid w:val="00404A7C"/>
    <w:rsid w:val="00411B7E"/>
    <w:rsid w:val="00414683"/>
    <w:rsid w:val="00447965"/>
    <w:rsid w:val="0045024C"/>
    <w:rsid w:val="00496146"/>
    <w:rsid w:val="004A2073"/>
    <w:rsid w:val="004A6B3E"/>
    <w:rsid w:val="004B2215"/>
    <w:rsid w:val="004B4022"/>
    <w:rsid w:val="004B69A2"/>
    <w:rsid w:val="004C4340"/>
    <w:rsid w:val="004C6E3B"/>
    <w:rsid w:val="004F4940"/>
    <w:rsid w:val="004F5019"/>
    <w:rsid w:val="00500984"/>
    <w:rsid w:val="005075B2"/>
    <w:rsid w:val="00513313"/>
    <w:rsid w:val="0052594B"/>
    <w:rsid w:val="00551E6E"/>
    <w:rsid w:val="00554673"/>
    <w:rsid w:val="00556E6B"/>
    <w:rsid w:val="00557C43"/>
    <w:rsid w:val="005A39E6"/>
    <w:rsid w:val="005E5682"/>
    <w:rsid w:val="0061042E"/>
    <w:rsid w:val="00614B30"/>
    <w:rsid w:val="00683617"/>
    <w:rsid w:val="006A3D26"/>
    <w:rsid w:val="006B387D"/>
    <w:rsid w:val="006B3D8B"/>
    <w:rsid w:val="006B5496"/>
    <w:rsid w:val="006B67D1"/>
    <w:rsid w:val="00702FCF"/>
    <w:rsid w:val="007B6C27"/>
    <w:rsid w:val="00802EB2"/>
    <w:rsid w:val="008366F1"/>
    <w:rsid w:val="008633BD"/>
    <w:rsid w:val="00864AD7"/>
    <w:rsid w:val="008B42F8"/>
    <w:rsid w:val="008E2B00"/>
    <w:rsid w:val="008E3AEA"/>
    <w:rsid w:val="00964244"/>
    <w:rsid w:val="009670BB"/>
    <w:rsid w:val="009873C9"/>
    <w:rsid w:val="009C2607"/>
    <w:rsid w:val="009C2FE0"/>
    <w:rsid w:val="009D0884"/>
    <w:rsid w:val="009D22AB"/>
    <w:rsid w:val="009E237A"/>
    <w:rsid w:val="009F401A"/>
    <w:rsid w:val="00A06369"/>
    <w:rsid w:val="00A72A9A"/>
    <w:rsid w:val="00A94AC0"/>
    <w:rsid w:val="00AB0FF4"/>
    <w:rsid w:val="00AD3D1A"/>
    <w:rsid w:val="00B0406D"/>
    <w:rsid w:val="00B4611D"/>
    <w:rsid w:val="00B46B35"/>
    <w:rsid w:val="00B61280"/>
    <w:rsid w:val="00BB2382"/>
    <w:rsid w:val="00C13625"/>
    <w:rsid w:val="00C50250"/>
    <w:rsid w:val="00C901B4"/>
    <w:rsid w:val="00CA32E3"/>
    <w:rsid w:val="00CA4BF1"/>
    <w:rsid w:val="00CC677D"/>
    <w:rsid w:val="00CE745B"/>
    <w:rsid w:val="00D20358"/>
    <w:rsid w:val="00D86265"/>
    <w:rsid w:val="00DA6A52"/>
    <w:rsid w:val="00DA6C91"/>
    <w:rsid w:val="00DC297C"/>
    <w:rsid w:val="00E024BB"/>
    <w:rsid w:val="00E77040"/>
    <w:rsid w:val="00E86FEB"/>
    <w:rsid w:val="00ED7A2D"/>
    <w:rsid w:val="00F226B3"/>
    <w:rsid w:val="00F24C62"/>
    <w:rsid w:val="00F532D5"/>
    <w:rsid w:val="00F7743A"/>
    <w:rsid w:val="00FC1881"/>
    <w:rsid w:val="00F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CB8568"/>
  <w15:docId w15:val="{ABB56864-6DAA-43DB-AC68-1E16F48C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864AD7"/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8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Encabezado">
    <w:name w:val="header"/>
    <w:basedOn w:val="Normal"/>
    <w:link w:val="EncabezadoCar"/>
    <w:rsid w:val="0055467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EncabezadoCar">
    <w:name w:val="Encabezado Car"/>
    <w:basedOn w:val="Fuentedeprrafopredeter"/>
    <w:link w:val="Encabezado"/>
    <w:rsid w:val="00554673"/>
    <w:rPr>
      <w:sz w:val="24"/>
      <w:szCs w:val="24"/>
      <w:lang w:val="es-CL"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ED7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urnals.sagepub.com/doi/10.1177/03091325188178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2069-1D2D-074E-9E2E-0CE4633A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1547</Words>
  <Characters>8512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Michael Lukas</cp:lastModifiedBy>
  <cp:revision>2</cp:revision>
  <dcterms:created xsi:type="dcterms:W3CDTF">2021-08-13T17:55:00Z</dcterms:created>
  <dcterms:modified xsi:type="dcterms:W3CDTF">2021-08-13T17:55:00Z</dcterms:modified>
</cp:coreProperties>
</file>