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DCC" w:rsidRPr="00847DCC" w:rsidRDefault="00847DCC" w:rsidP="00AC3145">
      <w:pPr>
        <w:pStyle w:val="Ttulo2"/>
        <w:jc w:val="center"/>
        <w:rPr>
          <w:color w:val="auto"/>
          <w:sz w:val="28"/>
        </w:rPr>
      </w:pPr>
      <w:r w:rsidRPr="00847DCC">
        <w:rPr>
          <w:color w:val="auto"/>
          <w:sz w:val="28"/>
        </w:rPr>
        <w:t xml:space="preserve">La lectura crítica, una herramienta de formación </w:t>
      </w:r>
      <w:r w:rsidRPr="00847DCC">
        <w:rPr>
          <w:color w:val="auto"/>
          <w:sz w:val="28"/>
        </w:rPr>
        <w:br/>
        <w:t>del pensamiento crítico en la universidad</w:t>
      </w:r>
      <w:r w:rsidRPr="00847DCC">
        <w:rPr>
          <w:color w:val="auto"/>
          <w:sz w:val="28"/>
        </w:rPr>
        <w:br/>
      </w:r>
      <w:r w:rsidRPr="00847DCC">
        <w:rPr>
          <w:b w:val="0"/>
          <w:i/>
          <w:color w:val="auto"/>
          <w:sz w:val="24"/>
        </w:rPr>
        <w:t>Celso</w:t>
      </w:r>
      <w:r>
        <w:rPr>
          <w:b w:val="0"/>
          <w:i/>
          <w:color w:val="auto"/>
          <w:sz w:val="24"/>
        </w:rPr>
        <w:t xml:space="preserve"> Delgado Ugarte</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 xml:space="preserve">Leer en la universidad es una tarea cotidiana, pero leer críticamente no parece serlo. Los estudiantes invierten bastante tiempo en comprender la información de los materiales de cada curso (libros, monografías, artículos, separatas, presentaciones visuales, etc.), pero no son capaces de asumir una posición respecto a lo leído. Leen para comprender y comprenden para aprender, pero no leen para pensar críticamente. “Comprender requiere construir el contenido pero también descubrir el punto de vista o los valores subyacentes (la ideología)”, afirma </w:t>
      </w:r>
      <w:proofErr w:type="spellStart"/>
      <w:r w:rsidRPr="00847DCC">
        <w:rPr>
          <w:rFonts w:ascii="Times New Roman" w:hAnsi="Times New Roman" w:cs="Times New Roman"/>
          <w:sz w:val="24"/>
          <w:lang w:eastAsia="es-CL"/>
        </w:rPr>
        <w:t>Cassany</w:t>
      </w:r>
      <w:proofErr w:type="spellEnd"/>
      <w:r w:rsidRPr="00847DCC">
        <w:rPr>
          <w:rFonts w:ascii="Times New Roman" w:hAnsi="Times New Roman" w:cs="Times New Roman"/>
          <w:sz w:val="24"/>
          <w:lang w:eastAsia="es-CL"/>
        </w:rPr>
        <w:t xml:space="preserve"> (2009).</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Existen muchas investigaciones en torno a la lectura y la comprensión desde un paradigma cognitivo, a partir del cual son diversas las propuestas didácticas que se han elaborado para el aula. En muchos sistemas educativos del mundo, desde los primeros años de la escolaridad, se pone énfasis en los niveles de comprensión lectora, el proceso lector, las estrategias cognitivas y los materiales para lograr que los estudiantes elaboren la coherencia global de los textos; mejor dicho, reproduzcan el pensamiento del autor.</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 xml:space="preserve">Sin embargo, la lectura así entendida no es suficiente para la formación del pensamiento crítico en la universidad. La lectura además de una actividad lingüística, cognitiva y comunicativa, es una práctica social y cultural que debe promoverse desde el currículo. </w:t>
      </w:r>
      <w:proofErr w:type="spellStart"/>
      <w:r w:rsidRPr="00847DCC">
        <w:rPr>
          <w:rFonts w:ascii="Times New Roman" w:hAnsi="Times New Roman" w:cs="Times New Roman"/>
          <w:sz w:val="24"/>
          <w:lang w:eastAsia="es-CL"/>
        </w:rPr>
        <w:t>Vigotsky</w:t>
      </w:r>
      <w:proofErr w:type="spellEnd"/>
      <w:r w:rsidRPr="00847DCC">
        <w:rPr>
          <w:rFonts w:ascii="Times New Roman" w:hAnsi="Times New Roman" w:cs="Times New Roman"/>
          <w:sz w:val="24"/>
          <w:lang w:eastAsia="es-CL"/>
        </w:rPr>
        <w:t xml:space="preserve"> (1988) ya había concebido la idea de la lectura como una práctica social y como un proceso interactivo y dinámico en el que el lector dialoga con un autor a través del texto. Otorgarle el carácter social a la lectura significa trascender la lectura de las líneas y la lectura entre líneas, para avanzar a la lectura tras las líneas, en expresiones de </w:t>
      </w:r>
      <w:proofErr w:type="spellStart"/>
      <w:r w:rsidRPr="00847DCC">
        <w:rPr>
          <w:rFonts w:ascii="Times New Roman" w:hAnsi="Times New Roman" w:cs="Times New Roman"/>
          <w:sz w:val="24"/>
          <w:lang w:eastAsia="es-CL"/>
        </w:rPr>
        <w:t>Cassany</w:t>
      </w:r>
      <w:proofErr w:type="spellEnd"/>
      <w:r w:rsidRPr="00847DCC">
        <w:rPr>
          <w:rFonts w:ascii="Times New Roman" w:hAnsi="Times New Roman" w:cs="Times New Roman"/>
          <w:sz w:val="24"/>
          <w:lang w:eastAsia="es-CL"/>
        </w:rPr>
        <w:t>.</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 xml:space="preserve">Los textos no solo ofrecen contenidos, también son portadores de ideologías. Van </w:t>
      </w:r>
      <w:proofErr w:type="spellStart"/>
      <w:r w:rsidRPr="00847DCC">
        <w:rPr>
          <w:rFonts w:ascii="Times New Roman" w:hAnsi="Times New Roman" w:cs="Times New Roman"/>
          <w:sz w:val="24"/>
          <w:lang w:eastAsia="es-CL"/>
        </w:rPr>
        <w:t>Dijk</w:t>
      </w:r>
      <w:proofErr w:type="spellEnd"/>
      <w:r w:rsidRPr="00847DCC">
        <w:rPr>
          <w:rFonts w:ascii="Times New Roman" w:hAnsi="Times New Roman" w:cs="Times New Roman"/>
          <w:sz w:val="24"/>
          <w:lang w:eastAsia="es-CL"/>
        </w:rPr>
        <w:t xml:space="preserve"> (1992) sugiere que en todos los niveles del discurso podemos encontrar “huellas del contexto”. Estas huellas o indicios permiten entrever características sociales de los participantes como por ejemplo sexo, clase, etnicidad, edad, origen, posición y otras formas de pertenencia grupal. La lectura crítica es la que nos ayudará a descubrir el contexto histórico, social, económico, político y cultural de los textos.</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A pesar de que la lectura crítica constituye una herramienta de formación del pensamiento crítico, muy poco se toma en cuenta en el proceso de enseñanza, aprendizaje y desarrollo en el ámbito universitario, donde los estudiantes se enfrentan a una diversidad y complejidad de textos propios de la profesión sin asumir un rol de lectores críticos. Aquí se agrega la categoría conceptual desarrollo (Flórez, 2012) en el marco de una didáctica desarrolladora</w:t>
      </w:r>
      <w:hyperlink r:id="rId8" w:anchor="_ftn1" w:tooltip="" w:history="1">
        <w:r w:rsidRPr="00847DCC">
          <w:rPr>
            <w:rFonts w:ascii="Times New Roman" w:hAnsi="Times New Roman" w:cs="Times New Roman"/>
            <w:color w:val="0000FF"/>
            <w:sz w:val="24"/>
            <w:u w:val="single"/>
            <w:lang w:eastAsia="es-CL"/>
          </w:rPr>
          <w:t>[1]</w:t>
        </w:r>
      </w:hyperlink>
      <w:r w:rsidRPr="00847DCC">
        <w:rPr>
          <w:rFonts w:ascii="Times New Roman" w:hAnsi="Times New Roman" w:cs="Times New Roman"/>
          <w:sz w:val="24"/>
          <w:lang w:eastAsia="es-CL"/>
        </w:rPr>
        <w:t xml:space="preserve"> y emancipadora del sujeto que aprende y enseña a la vez. Recordemos que los textos no solo exigen una comprensión literal e inferencial, sino también crítica. La comprensión crítica incluye a las anteriores. El lector puede pensar críticamente sobre un texto únicamente si lo ha entendido. Pero, lograr que nuestros estudiantes aprendan a leer críticamente en la universidad es aún una tarea pendiente.</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lastRenderedPageBreak/>
        <w:t>La lectura crítica nos permite acceder al pensamiento crítico, el cual cumple un papel fundamental en la formación de ciudadanos conscientes y responsables. Según la Unesco (1998), la alfabetización crítica</w:t>
      </w:r>
      <w:hyperlink r:id="rId9" w:anchor="_ftn2" w:tooltip="" w:history="1">
        <w:r w:rsidRPr="00847DCC">
          <w:rPr>
            <w:rFonts w:ascii="Times New Roman" w:hAnsi="Times New Roman" w:cs="Times New Roman"/>
            <w:color w:val="0000FF"/>
            <w:sz w:val="24"/>
            <w:u w:val="single"/>
            <w:lang w:eastAsia="es-CL"/>
          </w:rPr>
          <w:t>[2]</w:t>
        </w:r>
      </w:hyperlink>
      <w:r w:rsidRPr="00847DCC">
        <w:rPr>
          <w:rFonts w:ascii="Times New Roman" w:hAnsi="Times New Roman" w:cs="Times New Roman"/>
          <w:sz w:val="24"/>
          <w:lang w:eastAsia="es-CL"/>
        </w:rPr>
        <w:t xml:space="preserve"> entraña el desarrollo de todas las capacidades básicas de comunicación que le permitan al hombre insertarse en el mundo del trabajo y en su cultura como formas de realización personal y espiritual, de progreso social y desarrollo económico (Serrano de Moreno y Madrid de Forero, 2007).</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Desde esta perspectiva, la lectura crítica debe ser un objetivo prioritario del currículo en el contexto universitario. La habilidad de ser un lector crítico es inherente a las personas y a las sociedades. Formar profesionales con una actitud crítica frente a la vida y al mundo es el reto en la sociedad de la información y del conocimiento. La lectura crítica y el pensamiento crítico son construcciones culturales que necesitan educación, esfuerzo y cultivo.</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Considerando que la lectura crítica no es algo dado, las aulas debieran convertirse en espacios de diálogo y discernimiento más que en espacios de conferencias o monólogos del profesor. Se debe dotar al estudiante de diversas estrategias de lectura crítica que le permitan descubrir el punto de vista que los discursos reflejan de la realidad, porque lo que aprendieron en la educación previa les resulta insuficiente cuando se enfrentan al aprendizaje de las disciplinas especializadas, ya sea educación, derecho, medicina, ingeniería, economía, periodismo o cualquier otra. “Ser un buen químico, abogado, geógrafo o ingeniero es saber procesar los discursos propios de la disciplina” (</w:t>
      </w:r>
      <w:proofErr w:type="spellStart"/>
      <w:r w:rsidRPr="00847DCC">
        <w:rPr>
          <w:rFonts w:ascii="Times New Roman" w:hAnsi="Times New Roman" w:cs="Times New Roman"/>
          <w:sz w:val="24"/>
          <w:lang w:eastAsia="es-CL"/>
        </w:rPr>
        <w:t>Cassany</w:t>
      </w:r>
      <w:proofErr w:type="spellEnd"/>
      <w:r w:rsidRPr="00847DCC">
        <w:rPr>
          <w:rFonts w:ascii="Times New Roman" w:hAnsi="Times New Roman" w:cs="Times New Roman"/>
          <w:sz w:val="24"/>
          <w:lang w:eastAsia="es-CL"/>
        </w:rPr>
        <w:t>, 2009: p. 113).</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 xml:space="preserve">No podemos dejar de señalar que es frecuente que los profesores expresemos nuestra queja por lo poco que leen y comprenden los estudiantes en la universidad, pero no solemos ocuparnos de enseñarles a leer los textos científicos y académicos propios de cada profesión. </w:t>
      </w:r>
      <w:proofErr w:type="spellStart"/>
      <w:r w:rsidRPr="00847DCC">
        <w:rPr>
          <w:rFonts w:ascii="Times New Roman" w:hAnsi="Times New Roman" w:cs="Times New Roman"/>
          <w:sz w:val="24"/>
          <w:lang w:eastAsia="es-CL"/>
        </w:rPr>
        <w:t>Carlino</w:t>
      </w:r>
      <w:proofErr w:type="spellEnd"/>
      <w:r w:rsidRPr="00847DCC">
        <w:rPr>
          <w:rFonts w:ascii="Times New Roman" w:hAnsi="Times New Roman" w:cs="Times New Roman"/>
          <w:sz w:val="24"/>
          <w:lang w:eastAsia="es-CL"/>
        </w:rPr>
        <w:t xml:space="preserve"> (2007, p.68) afirma que la lectura queda como tarea solo a cargo de los estudiantes y que su comprensión no resulta orientada por nuestra experiencia. Entonces, ¿cómo podríamos fomentar la lectura crítica? Es obvio, que si concebimos que la lectura es una habilidad que se aprende en forma definitiva en la educación básica, ya no hay nada que hacer: los lectores críticos se formarán por su cuenta. Esto no es cierto. La lectura crítica tiene que ser guiada y acompañada por el docente.</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 xml:space="preserve">Sin embargo, surge la pregunta ¿qué es leer críticamente? Desde un enfoque sociocultural, </w:t>
      </w:r>
      <w:proofErr w:type="spellStart"/>
      <w:r w:rsidRPr="00847DCC">
        <w:rPr>
          <w:rFonts w:ascii="Times New Roman" w:hAnsi="Times New Roman" w:cs="Times New Roman"/>
          <w:sz w:val="24"/>
          <w:lang w:eastAsia="es-CL"/>
        </w:rPr>
        <w:t>Cassany</w:t>
      </w:r>
      <w:proofErr w:type="spellEnd"/>
      <w:r w:rsidRPr="00847DCC">
        <w:rPr>
          <w:rFonts w:ascii="Times New Roman" w:hAnsi="Times New Roman" w:cs="Times New Roman"/>
          <w:sz w:val="24"/>
          <w:lang w:eastAsia="es-CL"/>
        </w:rPr>
        <w:t xml:space="preserve"> (2008) señala que leer críticamente es:</w:t>
      </w:r>
    </w:p>
    <w:p w:rsidR="00847DCC" w:rsidRPr="00847DCC" w:rsidRDefault="00847DCC" w:rsidP="00AC3145">
      <w:pPr>
        <w:widowControl/>
        <w:numPr>
          <w:ilvl w:val="0"/>
          <w:numId w:val="1"/>
        </w:numPr>
        <w:autoSpaceDE/>
        <w:autoSpaceDN/>
        <w:rPr>
          <w:rFonts w:ascii="Times New Roman" w:hAnsi="Times New Roman" w:cs="Times New Roman"/>
          <w:sz w:val="24"/>
          <w:lang w:eastAsia="es-CL"/>
        </w:rPr>
      </w:pPr>
      <w:r w:rsidRPr="00847DCC">
        <w:rPr>
          <w:rFonts w:ascii="Times New Roman" w:hAnsi="Times New Roman" w:cs="Times New Roman"/>
          <w:sz w:val="24"/>
          <w:lang w:eastAsia="es-CL"/>
        </w:rPr>
        <w:t>identifica al autor (¿quién es?, ¿qué pretende?, ¿por qué?);</w:t>
      </w:r>
    </w:p>
    <w:p w:rsidR="00847DCC" w:rsidRPr="00847DCC" w:rsidRDefault="00847DCC" w:rsidP="00AC3145">
      <w:pPr>
        <w:widowControl/>
        <w:numPr>
          <w:ilvl w:val="0"/>
          <w:numId w:val="2"/>
        </w:numPr>
        <w:autoSpaceDE/>
        <w:autoSpaceDN/>
        <w:rPr>
          <w:rFonts w:ascii="Times New Roman" w:hAnsi="Times New Roman" w:cs="Times New Roman"/>
          <w:sz w:val="24"/>
          <w:lang w:eastAsia="es-CL"/>
        </w:rPr>
      </w:pPr>
      <w:r w:rsidRPr="00847DCC">
        <w:rPr>
          <w:rFonts w:ascii="Times New Roman" w:hAnsi="Times New Roman" w:cs="Times New Roman"/>
          <w:sz w:val="24"/>
          <w:lang w:eastAsia="es-CL"/>
        </w:rPr>
        <w:t>identificar la práctica letrada (¿qué género es?, ¿cómo se utiliza?);</w:t>
      </w:r>
    </w:p>
    <w:p w:rsidR="00847DCC" w:rsidRPr="00847DCC" w:rsidRDefault="00847DCC" w:rsidP="00AC3145">
      <w:pPr>
        <w:widowControl/>
        <w:numPr>
          <w:ilvl w:val="0"/>
          <w:numId w:val="3"/>
        </w:numPr>
        <w:autoSpaceDE/>
        <w:autoSpaceDN/>
        <w:rPr>
          <w:rFonts w:ascii="Times New Roman" w:hAnsi="Times New Roman" w:cs="Times New Roman"/>
          <w:sz w:val="24"/>
          <w:lang w:eastAsia="es-CL"/>
        </w:rPr>
      </w:pPr>
      <w:r w:rsidRPr="00847DCC">
        <w:rPr>
          <w:rFonts w:ascii="Times New Roman" w:hAnsi="Times New Roman" w:cs="Times New Roman"/>
          <w:sz w:val="24"/>
          <w:lang w:eastAsia="es-CL"/>
        </w:rPr>
        <w:t>construir tu interpretación (¿cómo lo entiendes tú?, ¿dónde estás?, ¿y tus colegas?, ¿y tus políticos?, ¿qué haces?)</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 xml:space="preserve">El lector crítico debe ser capaz de identificar quién es el autor del texto que lee, cuáles son sus intenciones, cuál es su ideología. También debe ser capaz de identificar los géneros textuales y los usos que se dan en el desarrollo de las disciplinas. Los libros, los capítulos, los materiales de cátedra, los manuales, los resúmenes, los comentarios, los artículos de investigación, las monografías, las ponencias, son textos que tienen usos diversos según los contenidos de las propias asignaturas. Y por último, el lector crítico debe ser capaz de </w:t>
      </w:r>
      <w:r w:rsidRPr="00847DCC">
        <w:rPr>
          <w:rFonts w:ascii="Times New Roman" w:hAnsi="Times New Roman" w:cs="Times New Roman"/>
          <w:sz w:val="24"/>
          <w:lang w:eastAsia="es-CL"/>
        </w:rPr>
        <w:lastRenderedPageBreak/>
        <w:t>construir su interpretación y confrontarla con la interpretación de los otros lectores, de modo que logre penetrar hasta el sentido profundo del texto.</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 xml:space="preserve">La lectura crítica es una disposición, una inclinación de la persona a tratar de llegar al sentido profundo del texto, a las ideas subyacentes, a los fundamentos y razonamientos y a la ideología implícita, para considerar explicaciones alternativas y a no dar nada por sentado cuando podría ser razonable ponerlo en duda (Smith, 1994; </w:t>
      </w:r>
      <w:proofErr w:type="spellStart"/>
      <w:r w:rsidRPr="00847DCC">
        <w:rPr>
          <w:rFonts w:ascii="Times New Roman" w:hAnsi="Times New Roman" w:cs="Times New Roman"/>
          <w:sz w:val="24"/>
          <w:lang w:eastAsia="es-CL"/>
        </w:rPr>
        <w:t>Cassany</w:t>
      </w:r>
      <w:proofErr w:type="spellEnd"/>
      <w:r w:rsidRPr="00847DCC">
        <w:rPr>
          <w:rFonts w:ascii="Times New Roman" w:hAnsi="Times New Roman" w:cs="Times New Roman"/>
          <w:sz w:val="24"/>
          <w:lang w:eastAsia="es-CL"/>
        </w:rPr>
        <w:t>, 2004; 2006).</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La lectura crítica que tiene sus orígenes en las ideas de Paulo Freire y la pedagogía crítica (</w:t>
      </w:r>
      <w:proofErr w:type="spellStart"/>
      <w:r w:rsidRPr="00847DCC">
        <w:rPr>
          <w:rFonts w:ascii="Times New Roman" w:hAnsi="Times New Roman" w:cs="Times New Roman"/>
          <w:sz w:val="24"/>
          <w:lang w:eastAsia="es-CL"/>
        </w:rPr>
        <w:t>Giroux</w:t>
      </w:r>
      <w:proofErr w:type="spellEnd"/>
      <w:r w:rsidRPr="00847DCC">
        <w:rPr>
          <w:rFonts w:ascii="Times New Roman" w:hAnsi="Times New Roman" w:cs="Times New Roman"/>
          <w:sz w:val="24"/>
          <w:lang w:eastAsia="es-CL"/>
        </w:rPr>
        <w:t xml:space="preserve">, 1888; </w:t>
      </w:r>
      <w:proofErr w:type="spellStart"/>
      <w:r w:rsidRPr="00847DCC">
        <w:rPr>
          <w:rFonts w:ascii="Times New Roman" w:hAnsi="Times New Roman" w:cs="Times New Roman"/>
          <w:sz w:val="24"/>
          <w:lang w:eastAsia="es-CL"/>
        </w:rPr>
        <w:t>Kanpol</w:t>
      </w:r>
      <w:proofErr w:type="spellEnd"/>
      <w:r w:rsidRPr="00847DCC">
        <w:rPr>
          <w:rFonts w:ascii="Times New Roman" w:hAnsi="Times New Roman" w:cs="Times New Roman"/>
          <w:sz w:val="24"/>
          <w:lang w:eastAsia="es-CL"/>
        </w:rPr>
        <w:t xml:space="preserve">, 1994, </w:t>
      </w:r>
      <w:proofErr w:type="spellStart"/>
      <w:r w:rsidRPr="00847DCC">
        <w:rPr>
          <w:rFonts w:ascii="Times New Roman" w:hAnsi="Times New Roman" w:cs="Times New Roman"/>
          <w:sz w:val="24"/>
          <w:lang w:eastAsia="es-CL"/>
        </w:rPr>
        <w:t>Shor</w:t>
      </w:r>
      <w:proofErr w:type="spellEnd"/>
      <w:r w:rsidRPr="00847DCC">
        <w:rPr>
          <w:rFonts w:ascii="Times New Roman" w:hAnsi="Times New Roman" w:cs="Times New Roman"/>
          <w:sz w:val="24"/>
          <w:lang w:eastAsia="es-CL"/>
        </w:rPr>
        <w:t xml:space="preserve"> y </w:t>
      </w:r>
      <w:proofErr w:type="spellStart"/>
      <w:r w:rsidRPr="00847DCC">
        <w:rPr>
          <w:rFonts w:ascii="Times New Roman" w:hAnsi="Times New Roman" w:cs="Times New Roman"/>
          <w:sz w:val="24"/>
          <w:lang w:eastAsia="es-CL"/>
        </w:rPr>
        <w:t>Pari</w:t>
      </w:r>
      <w:proofErr w:type="spellEnd"/>
      <w:r w:rsidRPr="00847DCC">
        <w:rPr>
          <w:rFonts w:ascii="Times New Roman" w:hAnsi="Times New Roman" w:cs="Times New Roman"/>
          <w:sz w:val="24"/>
          <w:lang w:eastAsia="es-CL"/>
        </w:rPr>
        <w:t>, 1999), trasciende la lectura que se suele promover en la universidad, una lectura caracterizada por ser mecánica, superficial, obligada, fragmentada, descontextualizada, sin saberes previos: una lectura reproductiva. La lectura crítica tiene un carácter holístico e integrador de los saberes, como lo detalla Botello (2010): “La lectura crítica requiere de una orientación correcta, planificada, organizada para poder lograr expresiones críticas a través de juicios y opiniones, teniendo presente que para lograrlo deben interactuar lo cognitivo, lo afectivo, lo volitivo, lo axiológico y lo sociocultural”. Es aquí que el docente juega un rol preponderante en la didáctica de la lectura crítica, enseñando a los alumnos la manera específica de encarar los textos de su materia y dedicando un tiempo en las clases al análisis de lo leído, con el fin de ayudar a entender lo que los textos callan (</w:t>
      </w:r>
      <w:proofErr w:type="spellStart"/>
      <w:r w:rsidRPr="00847DCC">
        <w:rPr>
          <w:rFonts w:ascii="Times New Roman" w:hAnsi="Times New Roman" w:cs="Times New Roman"/>
          <w:sz w:val="24"/>
          <w:lang w:eastAsia="es-CL"/>
        </w:rPr>
        <w:t>Carlino</w:t>
      </w:r>
      <w:proofErr w:type="spellEnd"/>
      <w:r w:rsidRPr="00847DCC">
        <w:rPr>
          <w:rFonts w:ascii="Times New Roman" w:hAnsi="Times New Roman" w:cs="Times New Roman"/>
          <w:sz w:val="24"/>
          <w:lang w:eastAsia="es-CL"/>
        </w:rPr>
        <w:t>, 2005, p. 86).</w:t>
      </w:r>
    </w:p>
    <w:p w:rsidR="00847DCC" w:rsidRPr="00847DCC"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Todo texto no está libre de ideologías o visiones del mundo; todo texto transmite y propone valores, valoraciones de la cultura y de otras culturas, contribuyendo a crear, de esta forma, identidades sociales. (</w:t>
      </w:r>
      <w:proofErr w:type="spellStart"/>
      <w:r w:rsidRPr="00847DCC">
        <w:rPr>
          <w:rFonts w:ascii="Times New Roman" w:hAnsi="Times New Roman" w:cs="Times New Roman"/>
          <w:sz w:val="24"/>
          <w:lang w:eastAsia="es-CL"/>
        </w:rPr>
        <w:t>Agaján</w:t>
      </w:r>
      <w:proofErr w:type="spellEnd"/>
      <w:r w:rsidRPr="00847DCC">
        <w:rPr>
          <w:rFonts w:ascii="Times New Roman" w:hAnsi="Times New Roman" w:cs="Times New Roman"/>
          <w:sz w:val="24"/>
          <w:lang w:eastAsia="es-CL"/>
        </w:rPr>
        <w:t xml:space="preserve"> y Turra, 2009). En este sentido, el deber del profesor y estudiante como asiduos lectores es problematizar y </w:t>
      </w:r>
      <w:proofErr w:type="spellStart"/>
      <w:r w:rsidRPr="00847DCC">
        <w:rPr>
          <w:rFonts w:ascii="Times New Roman" w:hAnsi="Times New Roman" w:cs="Times New Roman"/>
          <w:sz w:val="24"/>
          <w:lang w:eastAsia="es-CL"/>
        </w:rPr>
        <w:t>desopacizar</w:t>
      </w:r>
      <w:proofErr w:type="spellEnd"/>
      <w:r w:rsidRPr="00847DCC">
        <w:rPr>
          <w:rFonts w:ascii="Times New Roman" w:hAnsi="Times New Roman" w:cs="Times New Roman"/>
          <w:sz w:val="24"/>
          <w:lang w:eastAsia="es-CL"/>
        </w:rPr>
        <w:t xml:space="preserve"> la realidad a través de la lectura crítica del contenido propuesto por los textos (</w:t>
      </w:r>
      <w:proofErr w:type="spellStart"/>
      <w:r w:rsidRPr="00847DCC">
        <w:rPr>
          <w:rFonts w:ascii="Times New Roman" w:hAnsi="Times New Roman" w:cs="Times New Roman"/>
          <w:sz w:val="24"/>
          <w:lang w:eastAsia="es-CL"/>
        </w:rPr>
        <w:t>Monclús</w:t>
      </w:r>
      <w:proofErr w:type="spellEnd"/>
      <w:r w:rsidRPr="00847DCC">
        <w:rPr>
          <w:rFonts w:ascii="Times New Roman" w:hAnsi="Times New Roman" w:cs="Times New Roman"/>
          <w:sz w:val="24"/>
          <w:lang w:eastAsia="es-CL"/>
        </w:rPr>
        <w:t xml:space="preserve"> 1988, citado en </w:t>
      </w:r>
      <w:proofErr w:type="spellStart"/>
      <w:r w:rsidRPr="00847DCC">
        <w:rPr>
          <w:rFonts w:ascii="Times New Roman" w:hAnsi="Times New Roman" w:cs="Times New Roman"/>
          <w:sz w:val="24"/>
          <w:lang w:eastAsia="es-CL"/>
        </w:rPr>
        <w:t>Agaján</w:t>
      </w:r>
      <w:proofErr w:type="spellEnd"/>
      <w:r w:rsidRPr="00847DCC">
        <w:rPr>
          <w:rFonts w:ascii="Times New Roman" w:hAnsi="Times New Roman" w:cs="Times New Roman"/>
          <w:sz w:val="24"/>
          <w:lang w:eastAsia="es-CL"/>
        </w:rPr>
        <w:t>).</w:t>
      </w:r>
    </w:p>
    <w:p w:rsidR="00950D0E" w:rsidRDefault="00847DCC" w:rsidP="00847DCC">
      <w:pPr>
        <w:widowControl/>
        <w:autoSpaceDE/>
        <w:autoSpaceDN/>
        <w:spacing w:before="100" w:beforeAutospacing="1" w:after="100" w:afterAutospacing="1"/>
        <w:jc w:val="both"/>
        <w:rPr>
          <w:rFonts w:ascii="Times New Roman" w:hAnsi="Times New Roman" w:cs="Times New Roman"/>
          <w:sz w:val="24"/>
          <w:lang w:eastAsia="es-CL"/>
        </w:rPr>
      </w:pPr>
      <w:r w:rsidRPr="00847DCC">
        <w:rPr>
          <w:rFonts w:ascii="Times New Roman" w:hAnsi="Times New Roman" w:cs="Times New Roman"/>
          <w:sz w:val="24"/>
          <w:lang w:eastAsia="es-CL"/>
        </w:rPr>
        <w:t xml:space="preserve">Por último, la universidad como institución académica, donde caben todas las ideologías, no solo debe ser una simple transmisora del conocimiento, sino una verdadera formadora del pensamiento crítico, el cual favorecerá la expresión de la pluralidad con libertad. Al respecto, Prieto (2008) sostiene que el pensamiento crítico reivindica al individuo como sujeto pensante, con derecho a expresarse libremente y provisto de valores democráticos. En esta misma dirección, </w:t>
      </w:r>
      <w:proofErr w:type="spellStart"/>
      <w:r w:rsidRPr="00847DCC">
        <w:rPr>
          <w:rFonts w:ascii="Times New Roman" w:hAnsi="Times New Roman" w:cs="Times New Roman"/>
          <w:sz w:val="24"/>
          <w:lang w:eastAsia="es-CL"/>
        </w:rPr>
        <w:t>Arigaza</w:t>
      </w:r>
      <w:proofErr w:type="spellEnd"/>
      <w:r w:rsidRPr="00847DCC">
        <w:rPr>
          <w:rFonts w:ascii="Times New Roman" w:hAnsi="Times New Roman" w:cs="Times New Roman"/>
          <w:sz w:val="24"/>
          <w:lang w:eastAsia="es-CL"/>
        </w:rPr>
        <w:t xml:space="preserve"> (2009, p. 92) agrega: “Un pensamiento crítico, del estudiante, puede cuestionar lo indebido cuando es afectado o beneficiado, un pensamiento empírico, en cambio, copia mecánicamente los modelos positivos o negativos, sin cuestionarlos y sin darse cuenta de ello”. Sin lectura crítica no hay pensamiento crítico, sin pensamiento crítico no hay una verdadera universidad.</w:t>
      </w:r>
    </w:p>
    <w:p w:rsidR="00950D0E" w:rsidRDefault="00950D0E">
      <w:pPr>
        <w:widowControl/>
        <w:autoSpaceDE/>
        <w:autoSpaceDN/>
        <w:spacing w:after="200" w:line="276" w:lineRule="auto"/>
        <w:rPr>
          <w:rFonts w:ascii="Times New Roman" w:hAnsi="Times New Roman" w:cs="Times New Roman"/>
          <w:sz w:val="24"/>
          <w:lang w:eastAsia="es-CL"/>
        </w:rPr>
      </w:pPr>
      <w:r>
        <w:rPr>
          <w:rFonts w:ascii="Times New Roman" w:hAnsi="Times New Roman" w:cs="Times New Roman"/>
          <w:sz w:val="24"/>
          <w:lang w:eastAsia="es-CL"/>
        </w:rPr>
        <w:br w:type="page"/>
      </w:r>
    </w:p>
    <w:p w:rsidR="00847DCC" w:rsidRPr="00847DCC" w:rsidRDefault="00847DCC" w:rsidP="00AC3145">
      <w:pPr>
        <w:widowControl/>
        <w:autoSpaceDE/>
        <w:autoSpaceDN/>
        <w:spacing w:before="100" w:beforeAutospacing="1" w:after="100" w:afterAutospacing="1"/>
        <w:rPr>
          <w:rFonts w:ascii="Times New Roman" w:hAnsi="Times New Roman" w:cs="Times New Roman"/>
          <w:sz w:val="24"/>
          <w:lang w:eastAsia="es-CL"/>
        </w:rPr>
      </w:pPr>
      <w:r w:rsidRPr="00847DCC">
        <w:rPr>
          <w:rFonts w:ascii="Times New Roman" w:hAnsi="Times New Roman" w:cs="Times New Roman"/>
          <w:b/>
          <w:bCs/>
          <w:sz w:val="24"/>
          <w:lang w:eastAsia="es-CL"/>
        </w:rPr>
        <w:lastRenderedPageBreak/>
        <w:t xml:space="preserve">Bibliografía </w:t>
      </w:r>
    </w:p>
    <w:p w:rsidR="00847DCC" w:rsidRPr="00847DCC" w:rsidRDefault="00847DCC" w:rsidP="00950D0E">
      <w:pPr>
        <w:widowControl/>
        <w:autoSpaceDE/>
        <w:autoSpaceDN/>
        <w:spacing w:line="276" w:lineRule="auto"/>
        <w:rPr>
          <w:rFonts w:ascii="Times New Roman" w:hAnsi="Times New Roman" w:cs="Times New Roman"/>
          <w:sz w:val="24"/>
          <w:lang w:eastAsia="es-CL"/>
        </w:rPr>
      </w:pPr>
      <w:proofErr w:type="spellStart"/>
      <w:r w:rsidRPr="00847DCC">
        <w:rPr>
          <w:rFonts w:ascii="Times New Roman" w:hAnsi="Times New Roman" w:cs="Times New Roman"/>
          <w:sz w:val="24"/>
          <w:lang w:eastAsia="es-CL"/>
        </w:rPr>
        <w:t>Agaján</w:t>
      </w:r>
      <w:proofErr w:type="spellEnd"/>
      <w:r w:rsidRPr="00847DCC">
        <w:rPr>
          <w:rFonts w:ascii="Times New Roman" w:hAnsi="Times New Roman" w:cs="Times New Roman"/>
          <w:sz w:val="24"/>
          <w:lang w:eastAsia="es-CL"/>
        </w:rPr>
        <w:t xml:space="preserve">, L. y Turra, O. (2009). El texto escolar: hacia una didáctica crítica. </w:t>
      </w:r>
      <w:r w:rsidRPr="00847DCC">
        <w:rPr>
          <w:rFonts w:ascii="Times New Roman" w:hAnsi="Times New Roman" w:cs="Times New Roman"/>
          <w:i/>
          <w:iCs/>
          <w:sz w:val="24"/>
          <w:lang w:eastAsia="es-CL"/>
        </w:rPr>
        <w:t>Revista de Estudios y Experiencias en Educación</w:t>
      </w:r>
      <w:r w:rsidRPr="00847DCC">
        <w:rPr>
          <w:rFonts w:ascii="Times New Roman" w:hAnsi="Times New Roman" w:cs="Times New Roman"/>
          <w:sz w:val="24"/>
          <w:lang w:eastAsia="es-CL"/>
        </w:rPr>
        <w:t>, vol. 8, núm. 16, 2009, pp. 87-99. Universidad Católica de la Santísima Concepción, Chile. Recuperado de http://redalyc.uaemex.mx/src/inicio/ArtPdfRed.jsp?iCve=243116384006.</w:t>
      </w:r>
    </w:p>
    <w:p w:rsidR="00847DCC" w:rsidRPr="00847DCC" w:rsidRDefault="00847DCC" w:rsidP="00950D0E">
      <w:pPr>
        <w:widowControl/>
        <w:autoSpaceDE/>
        <w:autoSpaceDN/>
        <w:spacing w:line="276" w:lineRule="auto"/>
        <w:rPr>
          <w:rFonts w:ascii="Times New Roman" w:hAnsi="Times New Roman" w:cs="Times New Roman"/>
          <w:sz w:val="24"/>
          <w:lang w:eastAsia="es-CL"/>
        </w:rPr>
      </w:pPr>
      <w:proofErr w:type="spellStart"/>
      <w:r w:rsidRPr="00847DCC">
        <w:rPr>
          <w:rFonts w:ascii="Times New Roman" w:hAnsi="Times New Roman" w:cs="Times New Roman"/>
          <w:sz w:val="24"/>
          <w:lang w:eastAsia="es-CL"/>
        </w:rPr>
        <w:t>Arizaga</w:t>
      </w:r>
      <w:proofErr w:type="spellEnd"/>
      <w:r w:rsidRPr="00847DCC">
        <w:rPr>
          <w:rFonts w:ascii="Times New Roman" w:hAnsi="Times New Roman" w:cs="Times New Roman"/>
          <w:sz w:val="24"/>
          <w:lang w:eastAsia="es-CL"/>
        </w:rPr>
        <w:t xml:space="preserve">, R. y otros (2009). </w:t>
      </w:r>
      <w:r w:rsidRPr="00847DCC">
        <w:rPr>
          <w:rFonts w:ascii="Times New Roman" w:hAnsi="Times New Roman" w:cs="Times New Roman"/>
          <w:i/>
          <w:iCs/>
          <w:sz w:val="24"/>
          <w:lang w:eastAsia="es-CL"/>
        </w:rPr>
        <w:t>Seminario Internacional: “Modelos pedagógicos: Pedagogía crítica”</w:t>
      </w:r>
      <w:r w:rsidRPr="00847DCC">
        <w:rPr>
          <w:rFonts w:ascii="Times New Roman" w:hAnsi="Times New Roman" w:cs="Times New Roman"/>
          <w:sz w:val="24"/>
          <w:lang w:eastAsia="es-CL"/>
        </w:rPr>
        <w:t xml:space="preserve">. Instituto de Pedagogía Popular. Lima: Ediciones </w:t>
      </w:r>
      <w:proofErr w:type="spellStart"/>
      <w:r w:rsidRPr="00847DCC">
        <w:rPr>
          <w:rFonts w:ascii="Times New Roman" w:hAnsi="Times New Roman" w:cs="Times New Roman"/>
          <w:sz w:val="24"/>
          <w:lang w:eastAsia="es-CL"/>
        </w:rPr>
        <w:t>Fargraf</w:t>
      </w:r>
      <w:proofErr w:type="spellEnd"/>
      <w:r w:rsidRPr="00847DCC">
        <w:rPr>
          <w:rFonts w:ascii="Times New Roman" w:hAnsi="Times New Roman" w:cs="Times New Roman"/>
          <w:sz w:val="24"/>
          <w:lang w:eastAsia="es-CL"/>
        </w:rPr>
        <w:t xml:space="preserve"> S.R.L.</w:t>
      </w:r>
      <w:r w:rsidRPr="00847DCC">
        <w:rPr>
          <w:rFonts w:ascii="Times New Roman" w:hAnsi="Times New Roman" w:cs="Times New Roman"/>
          <w:b/>
          <w:bCs/>
          <w:sz w:val="24"/>
          <w:lang w:eastAsia="es-CL"/>
        </w:rPr>
        <w:t xml:space="preserve"> </w:t>
      </w:r>
    </w:p>
    <w:p w:rsidR="00847DCC" w:rsidRPr="00847DCC" w:rsidRDefault="00847DCC" w:rsidP="00950D0E">
      <w:pPr>
        <w:widowControl/>
        <w:autoSpaceDE/>
        <w:autoSpaceDN/>
        <w:spacing w:line="276" w:lineRule="auto"/>
        <w:rPr>
          <w:rFonts w:ascii="Times New Roman" w:hAnsi="Times New Roman" w:cs="Times New Roman"/>
          <w:sz w:val="24"/>
          <w:lang w:eastAsia="es-CL"/>
        </w:rPr>
      </w:pPr>
      <w:proofErr w:type="spellStart"/>
      <w:r w:rsidRPr="00847DCC">
        <w:rPr>
          <w:rFonts w:ascii="Times New Roman" w:hAnsi="Times New Roman" w:cs="Times New Roman"/>
          <w:sz w:val="24"/>
          <w:lang w:eastAsia="es-CL"/>
        </w:rPr>
        <w:t>Carlino</w:t>
      </w:r>
      <w:proofErr w:type="spellEnd"/>
      <w:r w:rsidRPr="00847DCC">
        <w:rPr>
          <w:rFonts w:ascii="Times New Roman" w:hAnsi="Times New Roman" w:cs="Times New Roman"/>
          <w:sz w:val="24"/>
          <w:lang w:eastAsia="es-CL"/>
        </w:rPr>
        <w:t xml:space="preserve">, P. (2005). </w:t>
      </w:r>
      <w:r w:rsidRPr="00847DCC">
        <w:rPr>
          <w:rFonts w:ascii="Times New Roman" w:hAnsi="Times New Roman" w:cs="Times New Roman"/>
          <w:i/>
          <w:iCs/>
          <w:sz w:val="24"/>
          <w:lang w:eastAsia="es-CL"/>
        </w:rPr>
        <w:t>Escribir, leer y aprender en la universidad. Una introducción a la alfabetización académica</w:t>
      </w:r>
      <w:r w:rsidRPr="00847DCC">
        <w:rPr>
          <w:rFonts w:ascii="Times New Roman" w:hAnsi="Times New Roman" w:cs="Times New Roman"/>
          <w:sz w:val="24"/>
          <w:lang w:eastAsia="es-CL"/>
        </w:rPr>
        <w:t>. Argentina, Buenos Aires: Fondo de Cultura Económica.</w:t>
      </w:r>
    </w:p>
    <w:p w:rsidR="00847DCC" w:rsidRPr="00847DCC" w:rsidRDefault="00847DCC" w:rsidP="00950D0E">
      <w:pPr>
        <w:widowControl/>
        <w:autoSpaceDE/>
        <w:autoSpaceDN/>
        <w:spacing w:line="276" w:lineRule="auto"/>
        <w:rPr>
          <w:rFonts w:ascii="Times New Roman" w:hAnsi="Times New Roman" w:cs="Times New Roman"/>
          <w:sz w:val="24"/>
          <w:lang w:eastAsia="es-CL"/>
        </w:rPr>
      </w:pPr>
      <w:proofErr w:type="spellStart"/>
      <w:r w:rsidRPr="00847DCC">
        <w:rPr>
          <w:rFonts w:ascii="Times New Roman" w:hAnsi="Times New Roman" w:cs="Times New Roman"/>
          <w:sz w:val="24"/>
          <w:lang w:eastAsia="es-CL"/>
        </w:rPr>
        <w:t>Cassany</w:t>
      </w:r>
      <w:proofErr w:type="spellEnd"/>
      <w:r w:rsidRPr="00847DCC">
        <w:rPr>
          <w:rFonts w:ascii="Times New Roman" w:hAnsi="Times New Roman" w:cs="Times New Roman"/>
          <w:sz w:val="24"/>
          <w:lang w:eastAsia="es-CL"/>
        </w:rPr>
        <w:t xml:space="preserve">, D. (2009). </w:t>
      </w:r>
      <w:r w:rsidRPr="00847DCC">
        <w:rPr>
          <w:rFonts w:ascii="Times New Roman" w:hAnsi="Times New Roman" w:cs="Times New Roman"/>
          <w:i/>
          <w:iCs/>
          <w:sz w:val="24"/>
          <w:lang w:eastAsia="es-CL"/>
        </w:rPr>
        <w:t>Para ser letrados. Voces y miradas sobre la lectura</w:t>
      </w:r>
      <w:r w:rsidRPr="00847DCC">
        <w:rPr>
          <w:rFonts w:ascii="Times New Roman" w:hAnsi="Times New Roman" w:cs="Times New Roman"/>
          <w:sz w:val="24"/>
          <w:lang w:eastAsia="es-CL"/>
        </w:rPr>
        <w:t>. España, Barcelona: Ediciones Paidós Ibérica S. A.</w:t>
      </w:r>
    </w:p>
    <w:p w:rsidR="00847DCC" w:rsidRPr="00847DCC" w:rsidRDefault="00847DCC" w:rsidP="00950D0E">
      <w:pPr>
        <w:widowControl/>
        <w:autoSpaceDE/>
        <w:autoSpaceDN/>
        <w:spacing w:line="276" w:lineRule="auto"/>
        <w:rPr>
          <w:rFonts w:ascii="Times New Roman" w:hAnsi="Times New Roman" w:cs="Times New Roman"/>
          <w:sz w:val="24"/>
          <w:lang w:eastAsia="es-CL"/>
        </w:rPr>
      </w:pPr>
      <w:r w:rsidRPr="00847DCC">
        <w:rPr>
          <w:rFonts w:ascii="Times New Roman" w:hAnsi="Times New Roman" w:cs="Times New Roman"/>
          <w:sz w:val="24"/>
          <w:lang w:eastAsia="es-CL"/>
        </w:rPr>
        <w:t xml:space="preserve">Castellanos, D. y otros (2002). </w:t>
      </w:r>
      <w:r w:rsidRPr="00847DCC">
        <w:rPr>
          <w:rFonts w:ascii="Times New Roman" w:hAnsi="Times New Roman" w:cs="Times New Roman"/>
          <w:i/>
          <w:iCs/>
          <w:sz w:val="24"/>
          <w:lang w:eastAsia="es-CL"/>
        </w:rPr>
        <w:t>Aprender y enseñar en la escuela: una concepción desarrolladora.</w:t>
      </w:r>
      <w:r w:rsidRPr="00847DCC">
        <w:rPr>
          <w:rFonts w:ascii="Times New Roman" w:hAnsi="Times New Roman" w:cs="Times New Roman"/>
          <w:sz w:val="24"/>
          <w:lang w:eastAsia="es-CL"/>
        </w:rPr>
        <w:t xml:space="preserve"> La Habana: Cuba.</w:t>
      </w:r>
    </w:p>
    <w:p w:rsidR="00847DCC" w:rsidRPr="00847DCC" w:rsidRDefault="00847DCC" w:rsidP="00950D0E">
      <w:pPr>
        <w:widowControl/>
        <w:autoSpaceDE/>
        <w:autoSpaceDN/>
        <w:spacing w:line="276" w:lineRule="auto"/>
        <w:rPr>
          <w:rFonts w:ascii="Times New Roman" w:hAnsi="Times New Roman" w:cs="Times New Roman"/>
          <w:sz w:val="24"/>
          <w:lang w:eastAsia="es-CL"/>
        </w:rPr>
      </w:pPr>
      <w:r w:rsidRPr="00847DCC">
        <w:rPr>
          <w:rFonts w:ascii="Times New Roman" w:hAnsi="Times New Roman" w:cs="Times New Roman"/>
          <w:sz w:val="24"/>
          <w:lang w:eastAsia="es-CL"/>
        </w:rPr>
        <w:t xml:space="preserve">Flórez, L. (2012, 15 de agosto). Nos enfrentamos al proceso de la finitud sin preparativos previos, sin juegos establecidos y sin materiales pedagógicos adquiridos. </w:t>
      </w:r>
      <w:r w:rsidRPr="00847DCC">
        <w:rPr>
          <w:rFonts w:ascii="Times New Roman" w:hAnsi="Times New Roman" w:cs="Times New Roman"/>
          <w:i/>
          <w:iCs/>
          <w:sz w:val="24"/>
          <w:lang w:eastAsia="es-CL"/>
        </w:rPr>
        <w:t>Red Educativa Mundial</w:t>
      </w:r>
      <w:r w:rsidRPr="00847DCC">
        <w:rPr>
          <w:rFonts w:ascii="Times New Roman" w:hAnsi="Times New Roman" w:cs="Times New Roman"/>
          <w:sz w:val="24"/>
          <w:lang w:eastAsia="es-CL"/>
        </w:rPr>
        <w:t xml:space="preserve">. </w:t>
      </w:r>
      <w:proofErr w:type="spellStart"/>
      <w:r w:rsidRPr="00847DCC">
        <w:rPr>
          <w:rFonts w:ascii="Times New Roman" w:hAnsi="Times New Roman" w:cs="Times New Roman"/>
          <w:sz w:val="24"/>
          <w:lang w:eastAsia="es-CL"/>
        </w:rPr>
        <w:t>Boletin</w:t>
      </w:r>
      <w:proofErr w:type="spellEnd"/>
      <w:r w:rsidRPr="00847DCC">
        <w:rPr>
          <w:rFonts w:ascii="Times New Roman" w:hAnsi="Times New Roman" w:cs="Times New Roman"/>
          <w:sz w:val="24"/>
          <w:lang w:eastAsia="es-CL"/>
        </w:rPr>
        <w:t xml:space="preserve"> REDEM N° 114. Recuperado de http://www.redem.org/boletin/boletin150812b.html</w:t>
      </w:r>
    </w:p>
    <w:p w:rsidR="00847DCC" w:rsidRPr="00847DCC" w:rsidRDefault="00847DCC" w:rsidP="00847DCC">
      <w:pPr>
        <w:widowControl/>
        <w:autoSpaceDE/>
        <w:autoSpaceDN/>
        <w:spacing w:before="100" w:beforeAutospacing="1" w:after="100" w:afterAutospacing="1"/>
        <w:rPr>
          <w:rFonts w:ascii="Times New Roman" w:hAnsi="Times New Roman" w:cs="Times New Roman"/>
          <w:sz w:val="24"/>
          <w:lang w:eastAsia="es-CL"/>
        </w:rPr>
      </w:pPr>
      <w:r w:rsidRPr="00847DCC">
        <w:rPr>
          <w:rFonts w:ascii="Times New Roman" w:hAnsi="Times New Roman" w:cs="Times New Roman"/>
          <w:sz w:val="24"/>
          <w:lang w:eastAsia="es-CL"/>
        </w:rPr>
        <w:t xml:space="preserve">Serrano de Moreno, S. y Madrid de Forero, A. (2007). </w:t>
      </w:r>
      <w:r w:rsidRPr="00847DCC">
        <w:rPr>
          <w:rFonts w:ascii="Times New Roman" w:hAnsi="Times New Roman" w:cs="Times New Roman"/>
          <w:i/>
          <w:iCs/>
          <w:sz w:val="24"/>
          <w:lang w:eastAsia="es-CL"/>
        </w:rPr>
        <w:t>Competencias de lectura crítica. Una propuesta de reflexión para la teoría y la práctica.</w:t>
      </w:r>
      <w:r w:rsidRPr="00847DCC">
        <w:rPr>
          <w:rFonts w:ascii="Times New Roman" w:hAnsi="Times New Roman" w:cs="Times New Roman"/>
          <w:sz w:val="24"/>
          <w:lang w:eastAsia="es-CL"/>
        </w:rPr>
        <w:t xml:space="preserve"> Universidad de los Andes – Facultad de Educación y Humanidades. Recuperado de http://www.saber.ula.ve/bitstream/123456789/17304/2/articulo6.pdf</w:t>
      </w:r>
    </w:p>
    <w:p w:rsidR="00847DCC" w:rsidRPr="00847DCC" w:rsidRDefault="00847DCC" w:rsidP="00847DCC">
      <w:pPr>
        <w:widowControl/>
        <w:autoSpaceDE/>
        <w:autoSpaceDN/>
        <w:rPr>
          <w:rFonts w:ascii="Times New Roman" w:hAnsi="Times New Roman" w:cs="Times New Roman"/>
          <w:sz w:val="24"/>
          <w:lang w:eastAsia="es-CL"/>
        </w:rPr>
      </w:pPr>
      <w:r w:rsidRPr="00847DCC">
        <w:rPr>
          <w:rFonts w:ascii="Times New Roman" w:hAnsi="Times New Roman" w:cs="Times New Roman"/>
          <w:sz w:val="24"/>
          <w:lang w:eastAsia="es-CL"/>
        </w:rPr>
        <w:pict>
          <v:rect id="_x0000_i1025" style="width:145.85pt;height:.75pt" o:hrpct="330" o:hrstd="t" o:hr="t" fillcolor="#a0a0a0" stroked="f"/>
        </w:pict>
      </w:r>
    </w:p>
    <w:p w:rsidR="00847DCC" w:rsidRPr="00847DCC" w:rsidRDefault="00847DCC" w:rsidP="00950D0E">
      <w:pPr>
        <w:widowControl/>
        <w:autoSpaceDE/>
        <w:autoSpaceDN/>
        <w:jc w:val="both"/>
        <w:rPr>
          <w:rFonts w:ascii="Times New Roman" w:hAnsi="Times New Roman" w:cs="Times New Roman"/>
          <w:sz w:val="24"/>
          <w:lang w:eastAsia="es-CL"/>
        </w:rPr>
      </w:pPr>
      <w:hyperlink r:id="rId10" w:anchor="_ftnref1" w:tooltip="" w:history="1">
        <w:r w:rsidRPr="00847DCC">
          <w:rPr>
            <w:rFonts w:ascii="Times New Roman" w:hAnsi="Times New Roman" w:cs="Times New Roman"/>
            <w:i/>
            <w:iCs/>
            <w:color w:val="0000FF"/>
            <w:sz w:val="24"/>
            <w:u w:val="single"/>
            <w:lang w:eastAsia="es-CL"/>
          </w:rPr>
          <w:t>[1]</w:t>
        </w:r>
      </w:hyperlink>
      <w:r w:rsidRPr="00847DCC">
        <w:rPr>
          <w:rFonts w:ascii="Times New Roman" w:hAnsi="Times New Roman" w:cs="Times New Roman"/>
          <w:i/>
          <w:iCs/>
          <w:sz w:val="24"/>
          <w:lang w:eastAsia="es-CL"/>
        </w:rPr>
        <w:t xml:space="preserve"> La enseñanza desarrolladora “es el proceso sistémico de transmisión de la cultura en la institución escolar en función del encargo social, que se organiza a partir de los niveles de desarrollo actual y potencial de los estudiantes, y conduce al tránsito continuo hacia niveles superiores de desarrollo, con la finalidad de formar una personalidad integral y </w:t>
      </w:r>
      <w:proofErr w:type="spellStart"/>
      <w:r w:rsidRPr="00847DCC">
        <w:rPr>
          <w:rFonts w:ascii="Times New Roman" w:hAnsi="Times New Roman" w:cs="Times New Roman"/>
          <w:i/>
          <w:iCs/>
          <w:sz w:val="24"/>
          <w:lang w:eastAsia="es-CL"/>
        </w:rPr>
        <w:t>autodeterminada</w:t>
      </w:r>
      <w:proofErr w:type="spellEnd"/>
      <w:r w:rsidRPr="00847DCC">
        <w:rPr>
          <w:rFonts w:ascii="Times New Roman" w:hAnsi="Times New Roman" w:cs="Times New Roman"/>
          <w:i/>
          <w:iCs/>
          <w:sz w:val="24"/>
          <w:lang w:eastAsia="es-CL"/>
        </w:rPr>
        <w:t>, capaz de transformarse y transformar su realidad en un contexto histórico concreto, siendo lo esencial, la autodeterminación, según la cual el sujeto deviene agente de su propio desarrollo” (Castellanos y otros, 2001:57).</w:t>
      </w:r>
    </w:p>
    <w:p w:rsidR="00847DCC" w:rsidRPr="00847DCC" w:rsidRDefault="00847DCC" w:rsidP="00950D0E">
      <w:pPr>
        <w:widowControl/>
        <w:autoSpaceDE/>
        <w:autoSpaceDN/>
        <w:jc w:val="both"/>
        <w:rPr>
          <w:rFonts w:ascii="Times New Roman" w:hAnsi="Times New Roman" w:cs="Times New Roman"/>
          <w:sz w:val="24"/>
          <w:lang w:eastAsia="es-CL"/>
        </w:rPr>
      </w:pPr>
      <w:hyperlink r:id="rId11" w:anchor="_ftnref2" w:tooltip="" w:history="1">
        <w:r w:rsidRPr="00847DCC">
          <w:rPr>
            <w:rFonts w:ascii="Times New Roman" w:hAnsi="Times New Roman" w:cs="Times New Roman"/>
            <w:i/>
            <w:iCs/>
            <w:color w:val="0000FF"/>
            <w:sz w:val="24"/>
            <w:u w:val="single"/>
            <w:lang w:eastAsia="es-CL"/>
          </w:rPr>
          <w:t>[2]</w:t>
        </w:r>
      </w:hyperlink>
      <w:r w:rsidRPr="00847DCC">
        <w:rPr>
          <w:rFonts w:ascii="Times New Roman" w:hAnsi="Times New Roman" w:cs="Times New Roman"/>
          <w:i/>
          <w:iCs/>
          <w:sz w:val="24"/>
          <w:lang w:eastAsia="es-CL"/>
        </w:rPr>
        <w:t xml:space="preserve"> La palabra “alfabetización” es la traducción directa de “</w:t>
      </w:r>
      <w:proofErr w:type="spellStart"/>
      <w:r w:rsidRPr="00847DCC">
        <w:rPr>
          <w:rFonts w:ascii="Times New Roman" w:hAnsi="Times New Roman" w:cs="Times New Roman"/>
          <w:i/>
          <w:iCs/>
          <w:sz w:val="24"/>
          <w:lang w:eastAsia="es-CL"/>
        </w:rPr>
        <w:t>literacy</w:t>
      </w:r>
      <w:proofErr w:type="spellEnd"/>
      <w:r w:rsidRPr="00847DCC">
        <w:rPr>
          <w:rFonts w:ascii="Times New Roman" w:hAnsi="Times New Roman" w:cs="Times New Roman"/>
          <w:i/>
          <w:iCs/>
          <w:sz w:val="24"/>
          <w:lang w:eastAsia="es-CL"/>
        </w:rPr>
        <w:t xml:space="preserve">”, que también puede entender como “cultura escrita”. Conviene tener presente que el vocablo inglés hace referencia a un conjunto de prácticas letradas más amplias que las que denota el correspondiente español “alfabetización”. Por </w:t>
      </w:r>
      <w:proofErr w:type="spellStart"/>
      <w:r w:rsidRPr="00847DCC">
        <w:rPr>
          <w:rFonts w:ascii="Times New Roman" w:hAnsi="Times New Roman" w:cs="Times New Roman"/>
          <w:i/>
          <w:iCs/>
          <w:sz w:val="24"/>
          <w:lang w:eastAsia="es-CL"/>
        </w:rPr>
        <w:t>literacy</w:t>
      </w:r>
      <w:proofErr w:type="spellEnd"/>
      <w:r w:rsidRPr="00847DCC">
        <w:rPr>
          <w:rFonts w:ascii="Times New Roman" w:hAnsi="Times New Roman" w:cs="Times New Roman"/>
          <w:i/>
          <w:iCs/>
          <w:sz w:val="24"/>
          <w:lang w:eastAsia="es-CL"/>
        </w:rPr>
        <w:t xml:space="preserve"> se entiende la cultura organizada en torno de lo escrito, en cualquier nivel educativo pero también fuera del ámbito educacional, en las diversas comunidades lectoras y escritoras. (</w:t>
      </w:r>
      <w:proofErr w:type="spellStart"/>
      <w:r w:rsidRPr="00847DCC">
        <w:rPr>
          <w:rFonts w:ascii="Times New Roman" w:hAnsi="Times New Roman" w:cs="Times New Roman"/>
          <w:i/>
          <w:iCs/>
          <w:sz w:val="24"/>
          <w:lang w:eastAsia="es-CL"/>
        </w:rPr>
        <w:t>Carlino</w:t>
      </w:r>
      <w:proofErr w:type="spellEnd"/>
      <w:r w:rsidRPr="00847DCC">
        <w:rPr>
          <w:rFonts w:ascii="Times New Roman" w:hAnsi="Times New Roman" w:cs="Times New Roman"/>
          <w:i/>
          <w:iCs/>
          <w:sz w:val="24"/>
          <w:lang w:eastAsia="es-CL"/>
        </w:rPr>
        <w:t>, 2007: p. 14).</w:t>
      </w:r>
    </w:p>
    <w:p w:rsidR="00A02289" w:rsidRDefault="00A02289" w:rsidP="009E7CAB"/>
    <w:p w:rsidR="009E7CAB" w:rsidRPr="009E7CAB" w:rsidRDefault="009E7CAB" w:rsidP="00A02289">
      <w:pPr>
        <w:jc w:val="right"/>
        <w:rPr>
          <w:sz w:val="28"/>
        </w:rPr>
      </w:pPr>
      <w:r w:rsidRPr="009E7CAB">
        <w:t xml:space="preserve">Fuente: http://www.redem.org/la-lectura-critica-una-herramienta-de-formacion-del-pensamiento-critico-en-la-universidad/ </w:t>
      </w:r>
      <w:r w:rsidRPr="009E7CAB">
        <w:br/>
        <w:t>Visitado el 25 de Sept., 2015</w:t>
      </w:r>
    </w:p>
    <w:p w:rsidR="00AE2078" w:rsidRDefault="00AE2078" w:rsidP="009E7CAB">
      <w:bookmarkStart w:id="0" w:name="_GoBack"/>
      <w:bookmarkEnd w:id="0"/>
    </w:p>
    <w:sectPr w:rsidR="00AE2078" w:rsidSect="00950D0E">
      <w:headerReference w:type="default" r:id="rId12"/>
      <w:pgSz w:w="12240" w:h="15840"/>
      <w:pgMar w:top="1691" w:right="1608" w:bottom="1276"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3CD" w:rsidRDefault="004653CD" w:rsidP="0033460A">
      <w:r>
        <w:separator/>
      </w:r>
    </w:p>
  </w:endnote>
  <w:endnote w:type="continuationSeparator" w:id="0">
    <w:p w:rsidR="004653CD" w:rsidRDefault="004653CD" w:rsidP="0033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3CD" w:rsidRDefault="004653CD" w:rsidP="0033460A">
      <w:r>
        <w:separator/>
      </w:r>
    </w:p>
  </w:footnote>
  <w:footnote w:type="continuationSeparator" w:id="0">
    <w:p w:rsidR="004653CD" w:rsidRDefault="004653CD" w:rsidP="00334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60A" w:rsidRPr="0033460A" w:rsidRDefault="0033460A" w:rsidP="00950D0E">
    <w:pPr>
      <w:pStyle w:val="Encabezado"/>
      <w:jc w:val="right"/>
      <w:rPr>
        <w:i/>
      </w:rPr>
    </w:pPr>
    <w:r w:rsidRPr="0033460A">
      <w:rPr>
        <w:i/>
        <w:noProof/>
        <w:lang w:eastAsia="es-CL"/>
      </w:rPr>
      <w:drawing>
        <wp:anchor distT="0" distB="0" distL="114300" distR="114300" simplePos="0" relativeHeight="251658240" behindDoc="0" locked="0" layoutInCell="1" allowOverlap="1" wp14:anchorId="48024226" wp14:editId="19B096A8">
          <wp:simplePos x="0" y="0"/>
          <wp:positionH relativeFrom="column">
            <wp:posOffset>0</wp:posOffset>
          </wp:positionH>
          <wp:positionV relativeFrom="paragraph">
            <wp:posOffset>-20955</wp:posOffset>
          </wp:positionV>
          <wp:extent cx="904875" cy="646430"/>
          <wp:effectExtent l="0" t="0" r="9525" b="1270"/>
          <wp:wrapSquare wrapText="bothSides"/>
          <wp:docPr id="1" name="Imagen 1" descr="http://www.fau.uchile.cl/u/ImageServlet?idDocumento=76357&amp;indi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au.uchile.cl/u/ImageServlet?idDocumento=76357&amp;indice=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4875" cy="646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60A">
      <w:rPr>
        <w:i/>
      </w:rPr>
      <w:t>Electivo Problemas Geográficos de Chile II</w:t>
    </w:r>
    <w:r w:rsidR="004650C5">
      <w:rPr>
        <w:i/>
        <w:noProof/>
        <w:lang w:eastAsia="es-CL"/>
      </w:rPr>
      <w:t>:</w:t>
    </w:r>
    <w:r w:rsidR="004650C5">
      <w:rPr>
        <w:i/>
        <w:noProof/>
        <w:lang w:eastAsia="es-CL"/>
      </w:rPr>
      <w:br/>
    </w:r>
    <w:r w:rsidR="004650C5" w:rsidRPr="004650C5">
      <w:rPr>
        <w:rFonts w:cs="Arial"/>
        <w:bCs/>
        <w:i/>
        <w:lang w:val="es-MX"/>
      </w:rPr>
      <w:t xml:space="preserve">Discursos del desarrollo y </w:t>
    </w:r>
    <w:r w:rsidR="004650C5">
      <w:rPr>
        <w:rFonts w:cs="Arial"/>
        <w:bCs/>
        <w:i/>
        <w:lang w:val="es-MX"/>
      </w:rPr>
      <w:t xml:space="preserve">conflictos </w:t>
    </w:r>
    <w:proofErr w:type="spellStart"/>
    <w:r w:rsidR="004650C5">
      <w:rPr>
        <w:rFonts w:cs="Arial"/>
        <w:bCs/>
        <w:i/>
        <w:lang w:val="es-MX"/>
      </w:rPr>
      <w:t>socioambientales</w:t>
    </w:r>
    <w:proofErr w:type="spellEnd"/>
    <w:r w:rsidR="004650C5">
      <w:rPr>
        <w:rFonts w:cs="Arial"/>
        <w:bCs/>
        <w:i/>
        <w:lang w:val="es-MX"/>
      </w:rPr>
      <w:t xml:space="preserve">: </w:t>
    </w:r>
    <w:r w:rsidR="00950D0E">
      <w:rPr>
        <w:rFonts w:cs="Arial"/>
        <w:bCs/>
        <w:i/>
        <w:lang w:val="es-MX"/>
      </w:rPr>
      <w:br/>
    </w:r>
    <w:r w:rsidR="004650C5" w:rsidRPr="004650C5">
      <w:rPr>
        <w:rFonts w:cs="Arial"/>
        <w:bCs/>
        <w:i/>
        <w:lang w:val="es-MX"/>
      </w:rPr>
      <w:t>Hacia una ecología política del territorio forestal en Chile Central</w:t>
    </w:r>
    <w:r w:rsidR="00AC3145">
      <w:rPr>
        <w:rFonts w:cs="Arial"/>
        <w:bCs/>
        <w:i/>
        <w:lang w:val="es-MX"/>
      </w:rPr>
      <w:t>.</w:t>
    </w:r>
  </w:p>
  <w:p w:rsidR="0033460A" w:rsidRDefault="0033460A" w:rsidP="0033460A">
    <w:pPr>
      <w:pStyle w:val="Encabezado"/>
      <w:jc w:val="right"/>
      <w:rPr>
        <w:i/>
      </w:rPr>
    </w:pPr>
    <w:r w:rsidRPr="0033460A">
      <w:rPr>
        <w:i/>
      </w:rPr>
      <w:t>Ayudantía,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15434"/>
    <w:multiLevelType w:val="multilevel"/>
    <w:tmpl w:val="0F3A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782660"/>
    <w:multiLevelType w:val="multilevel"/>
    <w:tmpl w:val="D7927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771B41"/>
    <w:multiLevelType w:val="multilevel"/>
    <w:tmpl w:val="6A06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DCC"/>
    <w:rsid w:val="001E0911"/>
    <w:rsid w:val="001F7A2A"/>
    <w:rsid w:val="0033460A"/>
    <w:rsid w:val="003E5397"/>
    <w:rsid w:val="004650C5"/>
    <w:rsid w:val="004653CD"/>
    <w:rsid w:val="00692A38"/>
    <w:rsid w:val="007E0681"/>
    <w:rsid w:val="00847DCC"/>
    <w:rsid w:val="00950D0E"/>
    <w:rsid w:val="009A64BF"/>
    <w:rsid w:val="009E7CAB"/>
    <w:rsid w:val="00A02289"/>
    <w:rsid w:val="00AC3145"/>
    <w:rsid w:val="00AE2078"/>
    <w:rsid w:val="00B662ED"/>
    <w:rsid w:val="00BA1262"/>
    <w:rsid w:val="00DE4356"/>
    <w:rsid w:val="00E41AAB"/>
    <w:rsid w:val="00F9329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A38"/>
    <w:pPr>
      <w:widowControl w:val="0"/>
      <w:autoSpaceDE w:val="0"/>
      <w:autoSpaceDN w:val="0"/>
      <w:spacing w:after="0" w:line="240" w:lineRule="auto"/>
    </w:pPr>
    <w:rPr>
      <w:rFonts w:ascii="Cambria" w:hAnsi="Cambria" w:cs="Courier New"/>
      <w:szCs w:val="24"/>
      <w:lang w:eastAsia="es-ES"/>
    </w:rPr>
  </w:style>
  <w:style w:type="paragraph" w:styleId="Ttulo1">
    <w:name w:val="heading 1"/>
    <w:basedOn w:val="Normal"/>
    <w:link w:val="Ttulo1Car"/>
    <w:uiPriority w:val="9"/>
    <w:qFormat/>
    <w:rsid w:val="00847DCC"/>
    <w:pPr>
      <w:widowControl/>
      <w:autoSpaceDE/>
      <w:autoSpaceDN/>
      <w:spacing w:before="100" w:beforeAutospacing="1" w:after="100" w:afterAutospacing="1"/>
      <w:outlineLvl w:val="0"/>
    </w:pPr>
    <w:rPr>
      <w:rFonts w:ascii="Times New Roman" w:hAnsi="Times New Roman" w:cs="Times New Roman"/>
      <w:b/>
      <w:bCs/>
      <w:kern w:val="36"/>
      <w:sz w:val="48"/>
      <w:szCs w:val="48"/>
      <w:lang w:eastAsia="es-CL"/>
    </w:rPr>
  </w:style>
  <w:style w:type="paragraph" w:styleId="Ttulo2">
    <w:name w:val="heading 2"/>
    <w:basedOn w:val="Normal"/>
    <w:next w:val="Normal"/>
    <w:link w:val="Ttulo2Car"/>
    <w:uiPriority w:val="9"/>
    <w:unhideWhenUsed/>
    <w:qFormat/>
    <w:rsid w:val="00847DC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47DCC"/>
    <w:pPr>
      <w:widowControl/>
      <w:autoSpaceDE/>
      <w:autoSpaceDN/>
      <w:spacing w:before="100" w:beforeAutospacing="1" w:after="100" w:afterAutospacing="1"/>
    </w:pPr>
    <w:rPr>
      <w:rFonts w:ascii="Times New Roman" w:hAnsi="Times New Roman" w:cs="Times New Roman"/>
      <w:sz w:val="24"/>
      <w:lang w:eastAsia="es-CL"/>
    </w:rPr>
  </w:style>
  <w:style w:type="character" w:styleId="Hipervnculo">
    <w:name w:val="Hyperlink"/>
    <w:basedOn w:val="Fuentedeprrafopredeter"/>
    <w:uiPriority w:val="99"/>
    <w:unhideWhenUsed/>
    <w:rsid w:val="00847DCC"/>
    <w:rPr>
      <w:color w:val="0000FF"/>
      <w:u w:val="single"/>
    </w:rPr>
  </w:style>
  <w:style w:type="character" w:styleId="Textoennegrita">
    <w:name w:val="Strong"/>
    <w:basedOn w:val="Fuentedeprrafopredeter"/>
    <w:uiPriority w:val="22"/>
    <w:qFormat/>
    <w:rsid w:val="00847DCC"/>
    <w:rPr>
      <w:b/>
      <w:bCs/>
    </w:rPr>
  </w:style>
  <w:style w:type="character" w:styleId="nfasis">
    <w:name w:val="Emphasis"/>
    <w:basedOn w:val="Fuentedeprrafopredeter"/>
    <w:uiPriority w:val="20"/>
    <w:qFormat/>
    <w:rsid w:val="00847DCC"/>
    <w:rPr>
      <w:i/>
      <w:iCs/>
    </w:rPr>
  </w:style>
  <w:style w:type="character" w:customStyle="1" w:styleId="Ttulo1Car">
    <w:name w:val="Título 1 Car"/>
    <w:basedOn w:val="Fuentedeprrafopredeter"/>
    <w:link w:val="Ttulo1"/>
    <w:uiPriority w:val="9"/>
    <w:rsid w:val="00847DCC"/>
    <w:rPr>
      <w:rFonts w:ascii="Times New Roman" w:hAnsi="Times New Roman" w:cs="Times New Roman"/>
      <w:b/>
      <w:bCs/>
      <w:kern w:val="36"/>
      <w:sz w:val="48"/>
      <w:szCs w:val="48"/>
      <w:lang w:eastAsia="es-CL"/>
    </w:rPr>
  </w:style>
  <w:style w:type="character" w:customStyle="1" w:styleId="Ttulo2Car">
    <w:name w:val="Título 2 Car"/>
    <w:basedOn w:val="Fuentedeprrafopredeter"/>
    <w:link w:val="Ttulo2"/>
    <w:uiPriority w:val="9"/>
    <w:rsid w:val="00847DCC"/>
    <w:rPr>
      <w:rFonts w:asciiTheme="majorHAnsi" w:eastAsiaTheme="majorEastAsia" w:hAnsiTheme="majorHAnsi" w:cstheme="majorBidi"/>
      <w:b/>
      <w:bCs/>
      <w:color w:val="4F81BD" w:themeColor="accent1"/>
      <w:sz w:val="26"/>
      <w:szCs w:val="26"/>
      <w:lang w:eastAsia="es-ES"/>
    </w:rPr>
  </w:style>
  <w:style w:type="paragraph" w:styleId="Encabezado">
    <w:name w:val="header"/>
    <w:basedOn w:val="Normal"/>
    <w:link w:val="EncabezadoCar"/>
    <w:uiPriority w:val="99"/>
    <w:unhideWhenUsed/>
    <w:rsid w:val="0033460A"/>
    <w:pPr>
      <w:tabs>
        <w:tab w:val="center" w:pos="4419"/>
        <w:tab w:val="right" w:pos="8838"/>
      </w:tabs>
    </w:pPr>
  </w:style>
  <w:style w:type="character" w:customStyle="1" w:styleId="EncabezadoCar">
    <w:name w:val="Encabezado Car"/>
    <w:basedOn w:val="Fuentedeprrafopredeter"/>
    <w:link w:val="Encabezado"/>
    <w:uiPriority w:val="99"/>
    <w:rsid w:val="0033460A"/>
    <w:rPr>
      <w:rFonts w:ascii="Cambria" w:hAnsi="Cambria" w:cs="Courier New"/>
      <w:szCs w:val="24"/>
      <w:lang w:eastAsia="es-ES"/>
    </w:rPr>
  </w:style>
  <w:style w:type="paragraph" w:styleId="Piedepgina">
    <w:name w:val="footer"/>
    <w:basedOn w:val="Normal"/>
    <w:link w:val="PiedepginaCar"/>
    <w:uiPriority w:val="99"/>
    <w:unhideWhenUsed/>
    <w:rsid w:val="0033460A"/>
    <w:pPr>
      <w:tabs>
        <w:tab w:val="center" w:pos="4419"/>
        <w:tab w:val="right" w:pos="8838"/>
      </w:tabs>
    </w:pPr>
  </w:style>
  <w:style w:type="character" w:customStyle="1" w:styleId="PiedepginaCar">
    <w:name w:val="Pie de página Car"/>
    <w:basedOn w:val="Fuentedeprrafopredeter"/>
    <w:link w:val="Piedepgina"/>
    <w:uiPriority w:val="99"/>
    <w:rsid w:val="0033460A"/>
    <w:rPr>
      <w:rFonts w:ascii="Cambria" w:hAnsi="Cambria" w:cs="Courier New"/>
      <w:szCs w:val="24"/>
      <w:lang w:eastAsia="es-ES"/>
    </w:rPr>
  </w:style>
  <w:style w:type="paragraph" w:styleId="Textodeglobo">
    <w:name w:val="Balloon Text"/>
    <w:basedOn w:val="Normal"/>
    <w:link w:val="TextodegloboCar"/>
    <w:uiPriority w:val="99"/>
    <w:semiHidden/>
    <w:unhideWhenUsed/>
    <w:rsid w:val="0033460A"/>
    <w:rPr>
      <w:rFonts w:ascii="Tahoma" w:hAnsi="Tahoma" w:cs="Tahoma"/>
      <w:sz w:val="16"/>
      <w:szCs w:val="16"/>
    </w:rPr>
  </w:style>
  <w:style w:type="character" w:customStyle="1" w:styleId="TextodegloboCar">
    <w:name w:val="Texto de globo Car"/>
    <w:basedOn w:val="Fuentedeprrafopredeter"/>
    <w:link w:val="Textodeglobo"/>
    <w:uiPriority w:val="99"/>
    <w:semiHidden/>
    <w:rsid w:val="0033460A"/>
    <w:rPr>
      <w:rFonts w:ascii="Tahoma"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A38"/>
    <w:pPr>
      <w:widowControl w:val="0"/>
      <w:autoSpaceDE w:val="0"/>
      <w:autoSpaceDN w:val="0"/>
      <w:spacing w:after="0" w:line="240" w:lineRule="auto"/>
    </w:pPr>
    <w:rPr>
      <w:rFonts w:ascii="Cambria" w:hAnsi="Cambria" w:cs="Courier New"/>
      <w:szCs w:val="24"/>
      <w:lang w:eastAsia="es-ES"/>
    </w:rPr>
  </w:style>
  <w:style w:type="paragraph" w:styleId="Ttulo1">
    <w:name w:val="heading 1"/>
    <w:basedOn w:val="Normal"/>
    <w:link w:val="Ttulo1Car"/>
    <w:uiPriority w:val="9"/>
    <w:qFormat/>
    <w:rsid w:val="00847DCC"/>
    <w:pPr>
      <w:widowControl/>
      <w:autoSpaceDE/>
      <w:autoSpaceDN/>
      <w:spacing w:before="100" w:beforeAutospacing="1" w:after="100" w:afterAutospacing="1"/>
      <w:outlineLvl w:val="0"/>
    </w:pPr>
    <w:rPr>
      <w:rFonts w:ascii="Times New Roman" w:hAnsi="Times New Roman" w:cs="Times New Roman"/>
      <w:b/>
      <w:bCs/>
      <w:kern w:val="36"/>
      <w:sz w:val="48"/>
      <w:szCs w:val="48"/>
      <w:lang w:eastAsia="es-CL"/>
    </w:rPr>
  </w:style>
  <w:style w:type="paragraph" w:styleId="Ttulo2">
    <w:name w:val="heading 2"/>
    <w:basedOn w:val="Normal"/>
    <w:next w:val="Normal"/>
    <w:link w:val="Ttulo2Car"/>
    <w:uiPriority w:val="9"/>
    <w:unhideWhenUsed/>
    <w:qFormat/>
    <w:rsid w:val="00847DC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847DCC"/>
    <w:pPr>
      <w:widowControl/>
      <w:autoSpaceDE/>
      <w:autoSpaceDN/>
      <w:spacing w:before="100" w:beforeAutospacing="1" w:after="100" w:afterAutospacing="1"/>
    </w:pPr>
    <w:rPr>
      <w:rFonts w:ascii="Times New Roman" w:hAnsi="Times New Roman" w:cs="Times New Roman"/>
      <w:sz w:val="24"/>
      <w:lang w:eastAsia="es-CL"/>
    </w:rPr>
  </w:style>
  <w:style w:type="character" w:styleId="Hipervnculo">
    <w:name w:val="Hyperlink"/>
    <w:basedOn w:val="Fuentedeprrafopredeter"/>
    <w:uiPriority w:val="99"/>
    <w:unhideWhenUsed/>
    <w:rsid w:val="00847DCC"/>
    <w:rPr>
      <w:color w:val="0000FF"/>
      <w:u w:val="single"/>
    </w:rPr>
  </w:style>
  <w:style w:type="character" w:styleId="Textoennegrita">
    <w:name w:val="Strong"/>
    <w:basedOn w:val="Fuentedeprrafopredeter"/>
    <w:uiPriority w:val="22"/>
    <w:qFormat/>
    <w:rsid w:val="00847DCC"/>
    <w:rPr>
      <w:b/>
      <w:bCs/>
    </w:rPr>
  </w:style>
  <w:style w:type="character" w:styleId="nfasis">
    <w:name w:val="Emphasis"/>
    <w:basedOn w:val="Fuentedeprrafopredeter"/>
    <w:uiPriority w:val="20"/>
    <w:qFormat/>
    <w:rsid w:val="00847DCC"/>
    <w:rPr>
      <w:i/>
      <w:iCs/>
    </w:rPr>
  </w:style>
  <w:style w:type="character" w:customStyle="1" w:styleId="Ttulo1Car">
    <w:name w:val="Título 1 Car"/>
    <w:basedOn w:val="Fuentedeprrafopredeter"/>
    <w:link w:val="Ttulo1"/>
    <w:uiPriority w:val="9"/>
    <w:rsid w:val="00847DCC"/>
    <w:rPr>
      <w:rFonts w:ascii="Times New Roman" w:hAnsi="Times New Roman" w:cs="Times New Roman"/>
      <w:b/>
      <w:bCs/>
      <w:kern w:val="36"/>
      <w:sz w:val="48"/>
      <w:szCs w:val="48"/>
      <w:lang w:eastAsia="es-CL"/>
    </w:rPr>
  </w:style>
  <w:style w:type="character" w:customStyle="1" w:styleId="Ttulo2Car">
    <w:name w:val="Título 2 Car"/>
    <w:basedOn w:val="Fuentedeprrafopredeter"/>
    <w:link w:val="Ttulo2"/>
    <w:uiPriority w:val="9"/>
    <w:rsid w:val="00847DCC"/>
    <w:rPr>
      <w:rFonts w:asciiTheme="majorHAnsi" w:eastAsiaTheme="majorEastAsia" w:hAnsiTheme="majorHAnsi" w:cstheme="majorBidi"/>
      <w:b/>
      <w:bCs/>
      <w:color w:val="4F81BD" w:themeColor="accent1"/>
      <w:sz w:val="26"/>
      <w:szCs w:val="26"/>
      <w:lang w:eastAsia="es-ES"/>
    </w:rPr>
  </w:style>
  <w:style w:type="paragraph" w:styleId="Encabezado">
    <w:name w:val="header"/>
    <w:basedOn w:val="Normal"/>
    <w:link w:val="EncabezadoCar"/>
    <w:uiPriority w:val="99"/>
    <w:unhideWhenUsed/>
    <w:rsid w:val="0033460A"/>
    <w:pPr>
      <w:tabs>
        <w:tab w:val="center" w:pos="4419"/>
        <w:tab w:val="right" w:pos="8838"/>
      </w:tabs>
    </w:pPr>
  </w:style>
  <w:style w:type="character" w:customStyle="1" w:styleId="EncabezadoCar">
    <w:name w:val="Encabezado Car"/>
    <w:basedOn w:val="Fuentedeprrafopredeter"/>
    <w:link w:val="Encabezado"/>
    <w:uiPriority w:val="99"/>
    <w:rsid w:val="0033460A"/>
    <w:rPr>
      <w:rFonts w:ascii="Cambria" w:hAnsi="Cambria" w:cs="Courier New"/>
      <w:szCs w:val="24"/>
      <w:lang w:eastAsia="es-ES"/>
    </w:rPr>
  </w:style>
  <w:style w:type="paragraph" w:styleId="Piedepgina">
    <w:name w:val="footer"/>
    <w:basedOn w:val="Normal"/>
    <w:link w:val="PiedepginaCar"/>
    <w:uiPriority w:val="99"/>
    <w:unhideWhenUsed/>
    <w:rsid w:val="0033460A"/>
    <w:pPr>
      <w:tabs>
        <w:tab w:val="center" w:pos="4419"/>
        <w:tab w:val="right" w:pos="8838"/>
      </w:tabs>
    </w:pPr>
  </w:style>
  <w:style w:type="character" w:customStyle="1" w:styleId="PiedepginaCar">
    <w:name w:val="Pie de página Car"/>
    <w:basedOn w:val="Fuentedeprrafopredeter"/>
    <w:link w:val="Piedepgina"/>
    <w:uiPriority w:val="99"/>
    <w:rsid w:val="0033460A"/>
    <w:rPr>
      <w:rFonts w:ascii="Cambria" w:hAnsi="Cambria" w:cs="Courier New"/>
      <w:szCs w:val="24"/>
      <w:lang w:eastAsia="es-ES"/>
    </w:rPr>
  </w:style>
  <w:style w:type="paragraph" w:styleId="Textodeglobo">
    <w:name w:val="Balloon Text"/>
    <w:basedOn w:val="Normal"/>
    <w:link w:val="TextodegloboCar"/>
    <w:uiPriority w:val="99"/>
    <w:semiHidden/>
    <w:unhideWhenUsed/>
    <w:rsid w:val="0033460A"/>
    <w:rPr>
      <w:rFonts w:ascii="Tahoma" w:hAnsi="Tahoma" w:cs="Tahoma"/>
      <w:sz w:val="16"/>
      <w:szCs w:val="16"/>
    </w:rPr>
  </w:style>
  <w:style w:type="character" w:customStyle="1" w:styleId="TextodegloboCar">
    <w:name w:val="Texto de globo Car"/>
    <w:basedOn w:val="Fuentedeprrafopredeter"/>
    <w:link w:val="Textodeglobo"/>
    <w:uiPriority w:val="99"/>
    <w:semiHidden/>
    <w:rsid w:val="0033460A"/>
    <w:rPr>
      <w:rFonts w:ascii="Tahoma"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44561">
      <w:bodyDiv w:val="1"/>
      <w:marLeft w:val="0"/>
      <w:marRight w:val="0"/>
      <w:marTop w:val="0"/>
      <w:marBottom w:val="0"/>
      <w:divBdr>
        <w:top w:val="none" w:sz="0" w:space="0" w:color="auto"/>
        <w:left w:val="none" w:sz="0" w:space="0" w:color="auto"/>
        <w:bottom w:val="none" w:sz="0" w:space="0" w:color="auto"/>
        <w:right w:val="none" w:sz="0" w:space="0" w:color="auto"/>
      </w:divBdr>
      <w:divsChild>
        <w:div w:id="1826580490">
          <w:marLeft w:val="0"/>
          <w:marRight w:val="0"/>
          <w:marTop w:val="0"/>
          <w:marBottom w:val="0"/>
          <w:divBdr>
            <w:top w:val="none" w:sz="0" w:space="0" w:color="auto"/>
            <w:left w:val="none" w:sz="0" w:space="0" w:color="auto"/>
            <w:bottom w:val="none" w:sz="0" w:space="0" w:color="auto"/>
            <w:right w:val="none" w:sz="0" w:space="0" w:color="auto"/>
          </w:divBdr>
        </w:div>
        <w:div w:id="2088843348">
          <w:marLeft w:val="0"/>
          <w:marRight w:val="0"/>
          <w:marTop w:val="0"/>
          <w:marBottom w:val="0"/>
          <w:divBdr>
            <w:top w:val="none" w:sz="0" w:space="0" w:color="auto"/>
            <w:left w:val="none" w:sz="0" w:space="0" w:color="auto"/>
            <w:bottom w:val="none" w:sz="0" w:space="0" w:color="auto"/>
            <w:right w:val="none" w:sz="0" w:space="0" w:color="auto"/>
          </w:divBdr>
        </w:div>
      </w:divsChild>
    </w:div>
    <w:div w:id="152937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dem.org/la-lectura-critica-una-herramienta-de-formacion-del-pensamiento-critico-en-la-universidad/"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edem.org/la-lectura-critica-una-herramienta-de-formacion-del-pensamiento-critico-en-la-universidad/" TargetMode="External"/><Relationship Id="rId5" Type="http://schemas.openxmlformats.org/officeDocument/2006/relationships/webSettings" Target="webSettings.xml"/><Relationship Id="rId10" Type="http://schemas.openxmlformats.org/officeDocument/2006/relationships/hyperlink" Target="http://www.redem.org/la-lectura-critica-una-herramienta-de-formacion-del-pensamiento-critico-en-la-universidad/" TargetMode="External"/><Relationship Id="rId4" Type="http://schemas.openxmlformats.org/officeDocument/2006/relationships/settings" Target="settings.xml"/><Relationship Id="rId9" Type="http://schemas.openxmlformats.org/officeDocument/2006/relationships/hyperlink" Target="http://www.redem.org/la-lectura-critica-una-herramienta-de-formacion-del-pensamiento-critico-en-la-universida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1959</Words>
  <Characters>10776</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Javiera Pez</dc:creator>
  <cp:lastModifiedBy>Javiera Pez</cp:lastModifiedBy>
  <cp:revision>3</cp:revision>
  <dcterms:created xsi:type="dcterms:W3CDTF">2015-09-28T02:05:00Z</dcterms:created>
  <dcterms:modified xsi:type="dcterms:W3CDTF">2015-09-28T02:47:00Z</dcterms:modified>
</cp:coreProperties>
</file>