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0E" w:rsidRPr="00391352" w:rsidRDefault="00E67B0E" w:rsidP="00391352">
      <w:pPr>
        <w:ind w:left="142"/>
        <w:rPr>
          <w:rFonts w:ascii="Futura Book BT" w:hAnsi="Futura Book BT" w:cs="Arial"/>
          <w:b/>
          <w:sz w:val="28"/>
          <w:szCs w:val="28"/>
        </w:rPr>
      </w:pPr>
    </w:p>
    <w:p w:rsidR="00B552DA" w:rsidRPr="00391352" w:rsidRDefault="00B552DA" w:rsidP="00391352">
      <w:pPr>
        <w:ind w:left="142"/>
        <w:jc w:val="center"/>
        <w:rPr>
          <w:rFonts w:ascii="Futura" w:hAnsi="Futura" w:cs="Futura"/>
          <w:sz w:val="28"/>
          <w:szCs w:val="28"/>
        </w:rPr>
      </w:pPr>
      <w:r w:rsidRPr="00391352">
        <w:rPr>
          <w:rFonts w:ascii="Futura" w:hAnsi="Futura" w:cs="Futura"/>
          <w:sz w:val="28"/>
          <w:szCs w:val="28"/>
        </w:rPr>
        <w:t>PROGRAMA DE CURSOS DE FORMACION GENERAL – CFG</w:t>
      </w:r>
    </w:p>
    <w:p w:rsidR="00B552DA" w:rsidRPr="00391352" w:rsidRDefault="00B552DA" w:rsidP="00391352">
      <w:pPr>
        <w:ind w:left="142"/>
        <w:jc w:val="center"/>
        <w:rPr>
          <w:rFonts w:ascii="Futura" w:hAnsi="Futura" w:cs="Futura"/>
          <w:sz w:val="28"/>
          <w:szCs w:val="28"/>
        </w:rPr>
      </w:pPr>
    </w:p>
    <w:p w:rsidR="00B552DA" w:rsidRPr="00391352" w:rsidRDefault="00B552DA" w:rsidP="00391352">
      <w:pPr>
        <w:ind w:left="142"/>
        <w:jc w:val="center"/>
        <w:rPr>
          <w:rFonts w:ascii="Futura" w:hAnsi="Futura" w:cs="Futura"/>
          <w:sz w:val="28"/>
          <w:szCs w:val="28"/>
        </w:rPr>
      </w:pPr>
      <w:r w:rsidRPr="00391352">
        <w:rPr>
          <w:rFonts w:ascii="Futura" w:hAnsi="Futura" w:cs="Futura"/>
          <w:sz w:val="28"/>
          <w:szCs w:val="28"/>
        </w:rPr>
        <w:t>I</w:t>
      </w:r>
      <w:r w:rsidR="00FC6240">
        <w:rPr>
          <w:rFonts w:ascii="Futura" w:hAnsi="Futura" w:cs="Futura"/>
          <w:sz w:val="28"/>
          <w:szCs w:val="28"/>
        </w:rPr>
        <w:t xml:space="preserve">I </w:t>
      </w:r>
      <w:r w:rsidR="00C36D57">
        <w:rPr>
          <w:rFonts w:ascii="Futura" w:hAnsi="Futura" w:cs="Futura"/>
          <w:sz w:val="28"/>
          <w:szCs w:val="28"/>
        </w:rPr>
        <w:t>Semestre 2015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535353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sz w:val="26"/>
          <w:szCs w:val="26"/>
          <w:lang w:val="es-ES"/>
        </w:rPr>
        <w:t>1. NOMBRE DEL CURSO</w:t>
      </w:r>
    </w:p>
    <w:p w:rsidR="00B552DA" w:rsidRPr="00391352" w:rsidRDefault="00EF6EBC" w:rsidP="00391352">
      <w:pPr>
        <w:ind w:left="142"/>
        <w:rPr>
          <w:rFonts w:ascii="Futura Book BT" w:hAnsi="Futura Book BT" w:cs="Arial"/>
          <w:color w:val="535353"/>
          <w:sz w:val="26"/>
          <w:szCs w:val="26"/>
          <w:lang w:val="es-ES"/>
        </w:rPr>
      </w:pPr>
      <w:r>
        <w:rPr>
          <w:rFonts w:ascii="Trebuchet MS" w:hAnsi="Trebuchet MS" w:cs="Gautami"/>
          <w:b/>
          <w:sz w:val="22"/>
          <w:szCs w:val="22"/>
          <w:lang w:val="es-MX"/>
        </w:rPr>
        <w:t xml:space="preserve">TERRITORIO Y POLITICAS </w:t>
      </w:r>
      <w:proofErr w:type="gramStart"/>
      <w:r>
        <w:rPr>
          <w:rFonts w:ascii="Trebuchet MS" w:hAnsi="Trebuchet MS" w:cs="Gautami"/>
          <w:b/>
          <w:sz w:val="22"/>
          <w:szCs w:val="22"/>
          <w:lang w:val="es-MX"/>
        </w:rPr>
        <w:t>PUBLICAS</w:t>
      </w:r>
      <w:proofErr w:type="gramEnd"/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2. NOMBRE DE LA ASIGNATURA EN INGLÉS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  <w:t>(</w:t>
      </w:r>
      <w:r w:rsidRPr="00391352"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  <w:t xml:space="preserve">No rellenar. Será traducido por la Unidad de Formación General e </w:t>
      </w:r>
      <w:proofErr w:type="gramStart"/>
      <w:r w:rsidRPr="00391352"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  <w:t>Inglés</w:t>
      </w:r>
      <w:proofErr w:type="gramEnd"/>
      <w:r w:rsidRPr="00391352"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  <w:t>)</w:t>
      </w: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lang w:val="es-ES"/>
        </w:rPr>
        <w:t>3. EQUIPO DOCENTE:</w:t>
      </w: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lang w:val="es-ES"/>
        </w:rPr>
      </w:pPr>
    </w:p>
    <w:tbl>
      <w:tblPr>
        <w:tblStyle w:val="Tablaconcuadrcula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B552DA" w:rsidRPr="00391352">
        <w:tc>
          <w:tcPr>
            <w:tcW w:w="10064" w:type="dxa"/>
          </w:tcPr>
          <w:p w:rsidR="00EF6EBC" w:rsidRDefault="00B552DA" w:rsidP="00EF6EBC">
            <w:pPr>
              <w:jc w:val="both"/>
              <w:rPr>
                <w:rFonts w:ascii="Futura Book BT" w:hAnsi="Futura Book BT" w:cs="Arial"/>
                <w:bCs/>
                <w:color w:val="000000" w:themeColor="text1"/>
              </w:rPr>
            </w:pPr>
            <w:r w:rsidRPr="00391352">
              <w:rPr>
                <w:rFonts w:ascii="Futura Book BT" w:hAnsi="Futura Book BT" w:cs="Arial"/>
                <w:bCs/>
                <w:color w:val="000000" w:themeColor="text1"/>
              </w:rPr>
              <w:t>Profesor Responsable</w:t>
            </w:r>
          </w:p>
          <w:p w:rsidR="00EF6EBC" w:rsidRDefault="00EF6EBC" w:rsidP="00EF6EBC">
            <w:pPr>
              <w:jc w:val="both"/>
              <w:rPr>
                <w:rFonts w:ascii="Trebuchet MS" w:hAnsi="Trebuchet MS" w:cs="Gautami"/>
                <w:b/>
                <w:lang w:val="es-MX"/>
              </w:rPr>
            </w:pPr>
            <w:r>
              <w:rPr>
                <w:rFonts w:ascii="Trebuchet MS" w:hAnsi="Trebuchet MS" w:cs="Gautami"/>
                <w:b/>
                <w:lang w:val="es-MX"/>
              </w:rPr>
              <w:t xml:space="preserve">Viviana Fernández </w:t>
            </w:r>
            <w:proofErr w:type="spellStart"/>
            <w:r>
              <w:rPr>
                <w:rFonts w:ascii="Trebuchet MS" w:hAnsi="Trebuchet MS" w:cs="Gautami"/>
                <w:b/>
                <w:lang w:val="es-MX"/>
              </w:rPr>
              <w:t>Prajoux</w:t>
            </w:r>
            <w:proofErr w:type="spellEnd"/>
            <w:r>
              <w:rPr>
                <w:rFonts w:ascii="Trebuchet MS" w:hAnsi="Trebuchet MS" w:cs="Gautami"/>
                <w:b/>
                <w:lang w:val="es-MX"/>
              </w:rPr>
              <w:t>, arquitecta</w:t>
            </w:r>
          </w:p>
          <w:p w:rsidR="00EF6EBC" w:rsidRDefault="00EF6EBC" w:rsidP="00EF6EBC">
            <w:pPr>
              <w:jc w:val="both"/>
              <w:rPr>
                <w:rFonts w:ascii="Trebuchet MS" w:hAnsi="Trebuchet MS" w:cs="Gautami"/>
                <w:b/>
                <w:lang w:val="es-MX"/>
              </w:rPr>
            </w:pPr>
            <w:r>
              <w:rPr>
                <w:rFonts w:ascii="Trebuchet MS" w:hAnsi="Trebuchet MS" w:cs="Gautami"/>
                <w:b/>
                <w:lang w:val="es-MX"/>
              </w:rPr>
              <w:t>Fernanda Contreras Villanueva, arquitecta</w:t>
            </w:r>
          </w:p>
          <w:p w:rsidR="00EF6EBC" w:rsidRPr="00B70DC2" w:rsidRDefault="00EF6EBC" w:rsidP="00EF6EBC">
            <w:pPr>
              <w:jc w:val="both"/>
              <w:rPr>
                <w:rFonts w:ascii="Trebuchet MS" w:hAnsi="Trebuchet MS" w:cs="Gautami"/>
                <w:b/>
                <w:lang w:val="es-MX"/>
              </w:rPr>
            </w:pPr>
            <w:r>
              <w:rPr>
                <w:rFonts w:ascii="Trebuchet MS" w:hAnsi="Trebuchet MS" w:cs="Gautami"/>
                <w:b/>
                <w:lang w:val="es-MX"/>
              </w:rPr>
              <w:t>Xenia Fuster Farfán, Trabajadora Social</w:t>
            </w:r>
          </w:p>
          <w:p w:rsidR="006E1C7D" w:rsidRPr="00391352" w:rsidRDefault="006E1C7D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Cs/>
                <w:color w:val="000000" w:themeColor="text1"/>
              </w:rPr>
            </w:pPr>
          </w:p>
          <w:p w:rsidR="00B552DA" w:rsidRPr="00391352" w:rsidRDefault="0071330C" w:rsidP="0071330C">
            <w:pPr>
              <w:widowControl w:val="0"/>
              <w:autoSpaceDE w:val="0"/>
              <w:autoSpaceDN w:val="0"/>
              <w:adjustRightInd w:val="0"/>
              <w:rPr>
                <w:rFonts w:ascii="Futura Book BT" w:hAnsi="Futura Book BT" w:cs="Arial"/>
                <w:b/>
                <w:bCs/>
                <w:color w:val="000000" w:themeColor="text1"/>
              </w:rPr>
            </w:pPr>
            <w:r>
              <w:rPr>
                <w:rFonts w:ascii="Futura Book BT" w:hAnsi="Futura Book BT" w:cs="Arial"/>
                <w:bCs/>
                <w:color w:val="000000" w:themeColor="text1"/>
              </w:rPr>
              <w:t>Panelistas por confirmar</w:t>
            </w:r>
          </w:p>
        </w:tc>
      </w:tr>
    </w:tbl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color w:val="000000" w:themeColor="text1"/>
          <w:sz w:val="20"/>
          <w:szCs w:val="20"/>
        </w:rPr>
      </w:pPr>
      <w:r w:rsidRPr="00391352">
        <w:rPr>
          <w:rFonts w:ascii="Futura Book BT" w:hAnsi="Futura Book BT" w:cs="Arial"/>
          <w:b/>
          <w:bCs/>
          <w:color w:val="000000" w:themeColor="text1"/>
          <w:lang w:val="es-ES"/>
        </w:rPr>
        <w:t xml:space="preserve">4. DÍA Y HORARIO: </w:t>
      </w:r>
      <w:r w:rsidR="00391352">
        <w:rPr>
          <w:rFonts w:ascii="Futura Book BT" w:hAnsi="Futura Book BT" w:cs="Arial"/>
          <w:b/>
          <w:bCs/>
          <w:color w:val="000000" w:themeColor="text1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(</w:t>
      </w:r>
      <w:r w:rsidRPr="00391352">
        <w:rPr>
          <w:rFonts w:ascii="Futura Book BT" w:hAnsi="Futura Book BT" w:cs="Arial"/>
          <w:color w:val="000000" w:themeColor="text1"/>
          <w:sz w:val="20"/>
          <w:szCs w:val="20"/>
        </w:rPr>
        <w:t>Jornada horaria específica: martes, miércoles o jueves, desde las 14:00 y hasta las 20:00hrs, idealmente.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color w:val="000000" w:themeColor="text1"/>
          <w:sz w:val="20"/>
          <w:szCs w:val="20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</w:rPr>
        <w:t>Estos días se justifican por los feriados establecidos generalmente en días lunes y viernes. Sin embargo, se pueden considerar estos días al igual que la jornada de la mañana en coordinación con el Programa para evaluar la factibilidad)</w:t>
      </w: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</w:rPr>
      </w:pPr>
    </w:p>
    <w:tbl>
      <w:tblPr>
        <w:tblStyle w:val="Tablaconcuadrcula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B552DA" w:rsidRPr="00391352">
        <w:tc>
          <w:tcPr>
            <w:tcW w:w="10064" w:type="dxa"/>
          </w:tcPr>
          <w:p w:rsidR="00B552DA" w:rsidRPr="00EF6EBC" w:rsidRDefault="00EF6EBC" w:rsidP="00EF6EBC">
            <w:pPr>
              <w:jc w:val="both"/>
              <w:rPr>
                <w:rFonts w:ascii="Trebuchet MS" w:hAnsi="Trebuchet MS" w:cs="Gautami"/>
                <w:b/>
                <w:lang w:val="es-MX"/>
              </w:rPr>
            </w:pPr>
            <w:r w:rsidRPr="00190722">
              <w:rPr>
                <w:rFonts w:ascii="Trebuchet MS" w:hAnsi="Trebuchet MS" w:cs="Gautami"/>
                <w:b/>
                <w:lang w:val="es-MX"/>
              </w:rPr>
              <w:t>Miércoles de 15.30 a 17.00 hrs.</w:t>
            </w:r>
          </w:p>
          <w:p w:rsidR="00B552DA" w:rsidRPr="00391352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/>
                <w:bCs/>
                <w:color w:val="000000" w:themeColor="text1"/>
              </w:rPr>
            </w:pPr>
          </w:p>
        </w:tc>
      </w:tr>
    </w:tbl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lang w:val="es-ES"/>
        </w:rPr>
      </w:pP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lang w:val="es-ES"/>
        </w:rPr>
        <w:t xml:space="preserve">5. LUGAR: </w:t>
      </w:r>
      <w:r w:rsidR="00391352">
        <w:rPr>
          <w:rFonts w:ascii="Futura Book BT" w:hAnsi="Futura Book BT" w:cs="Arial"/>
          <w:b/>
          <w:bCs/>
          <w:color w:val="000000" w:themeColor="text1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(Sugiera un lugar de acuerdo al propósito de los CFG de salir de la propia Facultad)</w:t>
      </w: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B552DA" w:rsidRPr="00391352">
        <w:tc>
          <w:tcPr>
            <w:tcW w:w="10064" w:type="dxa"/>
          </w:tcPr>
          <w:p w:rsidR="00B552DA" w:rsidRPr="00EF6EBC" w:rsidRDefault="00EF6EBC" w:rsidP="00EF6EBC">
            <w:pPr>
              <w:rPr>
                <w:rFonts w:ascii="Trebuchet MS" w:hAnsi="Trebuchet MS" w:cs="Gautami"/>
                <w:b/>
                <w:color w:val="000000" w:themeColor="text1"/>
                <w:lang w:val="es-MX"/>
              </w:rPr>
            </w:pPr>
            <w:r w:rsidRPr="00190722">
              <w:rPr>
                <w:rFonts w:ascii="Trebuchet MS" w:hAnsi="Trebuchet MS" w:cs="Gautami"/>
                <w:b/>
                <w:color w:val="000000" w:themeColor="text1"/>
                <w:lang w:val="es-MX"/>
              </w:rPr>
              <w:t>Facultad de Arquitectura y Urbanismo FAU</w:t>
            </w:r>
            <w:r w:rsidR="00E67B0E">
              <w:rPr>
                <w:rFonts w:ascii="Trebuchet MS" w:hAnsi="Trebuchet MS" w:cs="Gautami"/>
                <w:b/>
                <w:color w:val="000000" w:themeColor="text1"/>
                <w:lang w:val="es-MX"/>
              </w:rPr>
              <w:t xml:space="preserve"> / Portugal 84, Bloque B, sala B 21</w:t>
            </w:r>
          </w:p>
          <w:p w:rsidR="00B552DA" w:rsidRPr="00391352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/>
                <w:color w:val="000000" w:themeColor="text1"/>
              </w:rPr>
            </w:pPr>
          </w:p>
        </w:tc>
      </w:tr>
    </w:tbl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6. TIPO DE CRÉDITOS DE LA ASIGNATURA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t>(</w:t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Ya establecido para CFG transversales de la Universidad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)</w:t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:</w:t>
      </w: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autoSpaceDE w:val="0"/>
        <w:autoSpaceDN w:val="0"/>
        <w:adjustRightInd w:val="0"/>
        <w:ind w:left="142" w:firstLine="566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SCT-Chile            </w:t>
      </w:r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</w:p>
    <w:p w:rsidR="00391352" w:rsidRPr="00391352" w:rsidRDefault="00391352" w:rsidP="001B6A4E">
      <w:pPr>
        <w:widowControl w:val="0"/>
        <w:autoSpaceDE w:val="0"/>
        <w:autoSpaceDN w:val="0"/>
        <w:adjustRightInd w:val="0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>7. NÚMERO DE CRÉDITOS</w:t>
      </w:r>
      <w:r w:rsid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(Ya establecido de acuerdo al valor SCT – Chile para CFG transversales de la Universidad)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:rsidR="00B552DA" w:rsidRPr="00391352" w:rsidRDefault="00391352" w:rsidP="003913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/>
        <w:rPr>
          <w:rFonts w:ascii="Futura Book BT" w:hAnsi="Futura Book BT" w:cs="Arial"/>
          <w:color w:val="000000" w:themeColor="text1"/>
          <w:sz w:val="22"/>
          <w:szCs w:val="22"/>
        </w:rPr>
      </w:pPr>
      <w:r w:rsidRPr="00391352">
        <w:rPr>
          <w:rFonts w:ascii="Futura Book BT" w:hAnsi="Futura Book BT" w:cs="Arial"/>
          <w:color w:val="000000" w:themeColor="text1"/>
          <w:sz w:val="22"/>
          <w:szCs w:val="22"/>
        </w:rPr>
        <w:tab/>
      </w:r>
      <w:r w:rsidR="00B552DA" w:rsidRPr="00391352">
        <w:rPr>
          <w:rFonts w:ascii="Futura Book BT" w:hAnsi="Futura Book BT" w:cs="Arial"/>
          <w:color w:val="000000" w:themeColor="text1"/>
          <w:sz w:val="22"/>
          <w:szCs w:val="22"/>
        </w:rPr>
        <w:t>2 SCT - Chile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>8. HORAS DE TRABAJO PRESENCIAL DEL CURSO</w:t>
      </w:r>
      <w:r w:rsid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(Ya establecido para CFG transversales en horas cronológicas semanales)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firstLine="566"/>
        <w:rPr>
          <w:rFonts w:ascii="Futura Book BT" w:hAnsi="Futura Book BT" w:cs="Arial"/>
          <w:color w:val="000000" w:themeColor="text1"/>
          <w:sz w:val="22"/>
          <w:szCs w:val="22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>1 hora y media semanal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9. HORAS DE TRABAJO NO PRESENCIAL DEL CURSO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(Ya establecido para CFG transversales en horas cronológicas semanales)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firstLine="566"/>
        <w:rPr>
          <w:rFonts w:ascii="Futura Book BT" w:hAnsi="Futura Book BT" w:cs="Arial"/>
          <w:color w:val="000000" w:themeColor="text1"/>
          <w:sz w:val="22"/>
          <w:szCs w:val="22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>1 hora y media semanal</w:t>
      </w: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MX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10. PROPÓSITO GENERAL DE LA ASIGNATURA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(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MX"/>
        </w:rPr>
        <w:t xml:space="preserve">A partir de las competencias genéricas a las que este curso contribuye (que deberán definirse más abajo) y otras consideraciones relevantes para el equipo docente, por favor explicite el sentido de esta actividad curricular y el cómo contribuye a la formación de los estudiantes de la Universidad de Chile. 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Se sugiere un máximo de 25 líneas)</w:t>
      </w:r>
    </w:p>
    <w:p w:rsidR="00B552DA" w:rsidRPr="00391352" w:rsidRDefault="00B552DA" w:rsidP="00391352">
      <w:pPr>
        <w:widowControl w:val="0"/>
        <w:autoSpaceDE w:val="0"/>
        <w:autoSpaceDN w:val="0"/>
        <w:adjustRightInd w:val="0"/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El Objetivo general de este Curso de Formación General es introducir e interiorizar a los estudiantes de las distintas Facultades de la Universidad respecto de las funciones del Estado tanto a nivel nacional (ministerial), regional y local (municipalidades), tanto referidas a la formulación de políticas públicas como su expresión a nivel operativo en el territorio local.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Específicamente se espera contribuir a una formación integral que le permita al estudiante analizar críticamente diversas problemáticas existentes hoy en día y poder desempeñarse como profesional ofreciendo soluciones pertinentes e innovadores construidas en equipos interdisciplinarios y en conjunto con la comunidad.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A fin de vincular directamente al estudiante con la comunidad en un contexto específico hemos seleccionado en esta oportunidad como territorio de análisis la Comuna de La </w:t>
      </w:r>
      <w:proofErr w:type="spellStart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por tanto el trabajo grupal que los estudiantes realizarán durante el Curso estará enfocado a abordar los problemas reales que enfrenta la comuna en educación, medio ambiente, transporte, entre otros.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Las Políticas de los distintos sectores serán abordadas desde los siguientes enfoques: de inclusión, derechos, género, accesibilidad y participación ciudadana. 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11. RESULTADOS DE APRENDIZAJE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 xml:space="preserve">(Son un conjunto de enunciados que establecen lo que el estudiante “sabe hacer” en términos de procesos 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lastRenderedPageBreak/>
        <w:t>mentales o de actuaciones complejas de nivel superior al finalizar la asignatura. El conjunto de los Resultados de Aprendizaje deben dar cuenta del propósito la asignatura en términos de ser posibles de aprender y evidenciar su logro. A su vez, éstos se convierten en el compromiso formativo de excelencia de la unidad académica y del propio docente, en el sentido de propiciar su desarrollo y logro en TODOS sus estudiantes. La literatura recomienda que se establezcan entre 3 y 6 resultados de aprendizaje)</w:t>
      </w:r>
    </w:p>
    <w:p w:rsidR="00B552DA" w:rsidRPr="00391352" w:rsidRDefault="00B552DA" w:rsidP="00391352">
      <w:pPr>
        <w:tabs>
          <w:tab w:val="left" w:pos="1885"/>
        </w:tabs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:rsidR="00EF6EBC" w:rsidRPr="00EF6EBC" w:rsidRDefault="00EF6EBC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Se han destacado 4 </w:t>
      </w:r>
      <w:r w:rsidR="0071330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resultados de aprendizaje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que el Curso trabajará de manera transversal y prioritaria: </w:t>
      </w:r>
      <w:r w:rsidRPr="00EF6EBC"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  <w:t>Responsabilidad social y compromiso ciudadano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la que será trabajada a lo largo de las clases, lecturas y trabajo en terreno. </w:t>
      </w:r>
      <w:r w:rsidRPr="00EF6EBC"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  <w:t>Capacidad crítica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que se verá expresada en todo el proceso, logrando tensionar y problematizar las políticas públicas y su </w:t>
      </w:r>
      <w:proofErr w:type="spellStart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operacionalización</w:t>
      </w:r>
      <w:proofErr w:type="spellEnd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territorial. </w:t>
      </w:r>
      <w:r w:rsidRPr="00EF6EBC"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  <w:t>Compromiso ético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con las problemáticas sociales presentes en los territorios. Por último </w:t>
      </w:r>
      <w:r w:rsidRPr="00EF6EBC"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  <w:t>valoración y respeto por la diversidad y multiculturalidad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aspectos que serán abordados como ejes de análisis transversales para el análisis de las políticas públicas.</w:t>
      </w:r>
    </w:p>
    <w:p w:rsidR="00EF6EBC" w:rsidRPr="00EF6EBC" w:rsidRDefault="00EF6EBC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Default="00EF6EBC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Paralelamente el Curso también se propone poner énfasis en fortalecer en los estudiantes la capacidad de trabajar en equipo (ejercicio del Curso), capacidad de comunicación oral y escrita (lecturas y exposición de trabajos) y las habilidades en el uso de las tecnologías de la información y la comunicación (formato de entrega del ejercicio del Curso).</w:t>
      </w:r>
    </w:p>
    <w:p w:rsidR="008D737E" w:rsidRDefault="008D737E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8D737E" w:rsidRPr="008D737E" w:rsidRDefault="008D737E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</w:rPr>
      </w:pPr>
    </w:p>
    <w:p w:rsidR="00EF6EBC" w:rsidRPr="00EF6EBC" w:rsidRDefault="00EF6EBC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Pr="004E31F7" w:rsidRDefault="00B552DA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86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391352" w:rsidRDefault="00391352" w:rsidP="00815A20">
      <w:pPr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MX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12. COMPETENCIAS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bCs/>
          <w:color w:val="000000" w:themeColor="text1"/>
          <w:sz w:val="20"/>
          <w:szCs w:val="20"/>
          <w:lang w:val="es-ES"/>
        </w:rPr>
        <w:t>(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MX"/>
        </w:rPr>
        <w:t>Por favor, identifique con una X aquella(s) competencia(s) genérica(s) que su curso se compromete a desarrollar considerando el propósito general del CFG. Para un curso de las características de un CFG, la el</w:t>
      </w:r>
      <w:r w:rsidR="00FC6240">
        <w:rPr>
          <w:rFonts w:ascii="Futura Book BT" w:hAnsi="Futura Book BT" w:cs="Arial"/>
          <w:color w:val="000000" w:themeColor="text1"/>
          <w:sz w:val="20"/>
          <w:szCs w:val="20"/>
          <w:lang w:val="es-MX"/>
        </w:rPr>
        <w:t>ección no debiese ser mayor a 3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MX"/>
        </w:rPr>
        <w:t xml:space="preserve"> competencias. Ver documento Perfil CFG para encontrar estas competencias redactadas de forma compatible con el concepto de competencia con que trabaja la U. de Chile)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MX"/>
        </w:rPr>
      </w:pPr>
    </w:p>
    <w:tbl>
      <w:tblPr>
        <w:tblpPr w:leftFromText="141" w:rightFromText="141" w:vertAnchor="text" w:horzAnchor="margin" w:tblpX="291" w:tblpY="119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8810"/>
      </w:tblGrid>
      <w:tr w:rsidR="00B552DA" w:rsidRPr="00391352">
        <w:trPr>
          <w:trHeight w:val="296"/>
        </w:trPr>
        <w:tc>
          <w:tcPr>
            <w:tcW w:w="1147" w:type="dxa"/>
            <w:shd w:val="clear" w:color="auto" w:fill="E6E6E6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X</w:t>
            </w:r>
          </w:p>
        </w:tc>
        <w:tc>
          <w:tcPr>
            <w:tcW w:w="8810" w:type="dxa"/>
            <w:shd w:val="clear" w:color="auto" w:fill="E6E6E6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Competencias genéricas propuestas como parte del Sello U. de chile</w:t>
            </w:r>
          </w:p>
        </w:tc>
      </w:tr>
      <w:tr w:rsidR="00B552DA" w:rsidRPr="00391352">
        <w:trPr>
          <w:trHeight w:val="176"/>
        </w:trPr>
        <w:tc>
          <w:tcPr>
            <w:tcW w:w="1147" w:type="dxa"/>
          </w:tcPr>
          <w:p w:rsidR="00B552DA" w:rsidRPr="00391352" w:rsidRDefault="00EF6EBC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X</w:t>
            </w:r>
          </w:p>
        </w:tc>
        <w:tc>
          <w:tcPr>
            <w:tcW w:w="8810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Responsabilidad social y compromiso ciudadano</w:t>
            </w:r>
          </w:p>
        </w:tc>
      </w:tr>
      <w:tr w:rsidR="00B552DA" w:rsidRPr="00391352">
        <w:trPr>
          <w:trHeight w:val="270"/>
        </w:trPr>
        <w:tc>
          <w:tcPr>
            <w:tcW w:w="1147" w:type="dxa"/>
          </w:tcPr>
          <w:p w:rsidR="00B552DA" w:rsidRPr="00391352" w:rsidRDefault="00EF6EBC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X</w:t>
            </w:r>
          </w:p>
        </w:tc>
        <w:tc>
          <w:tcPr>
            <w:tcW w:w="8810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crítica</w:t>
            </w:r>
          </w:p>
        </w:tc>
      </w:tr>
      <w:tr w:rsidR="00B552DA" w:rsidRPr="00391352">
        <w:trPr>
          <w:trHeight w:val="229"/>
        </w:trPr>
        <w:tc>
          <w:tcPr>
            <w:tcW w:w="1147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8810" w:type="dxa"/>
            <w:tcBorders>
              <w:bottom w:val="single" w:sz="4" w:space="0" w:color="auto"/>
            </w:tcBorders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autocrítica</w:t>
            </w:r>
          </w:p>
        </w:tc>
      </w:tr>
      <w:tr w:rsidR="00B552DA" w:rsidRPr="00391352">
        <w:trPr>
          <w:trHeight w:val="175"/>
        </w:trPr>
        <w:tc>
          <w:tcPr>
            <w:tcW w:w="1147" w:type="dxa"/>
          </w:tcPr>
          <w:p w:rsidR="00B552DA" w:rsidRPr="00391352" w:rsidRDefault="00EF6EBC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X</w:t>
            </w:r>
          </w:p>
        </w:tc>
        <w:tc>
          <w:tcPr>
            <w:tcW w:w="8810" w:type="dxa"/>
            <w:shd w:val="clear" w:color="auto" w:fill="auto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Compromiso ético</w:t>
            </w:r>
          </w:p>
        </w:tc>
      </w:tr>
      <w:tr w:rsidR="00B552DA" w:rsidRPr="00391352">
        <w:trPr>
          <w:trHeight w:val="176"/>
        </w:trPr>
        <w:tc>
          <w:tcPr>
            <w:tcW w:w="1147" w:type="dxa"/>
          </w:tcPr>
          <w:p w:rsidR="00B552DA" w:rsidRPr="00391352" w:rsidRDefault="00EF6EBC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X</w:t>
            </w:r>
          </w:p>
        </w:tc>
        <w:tc>
          <w:tcPr>
            <w:tcW w:w="8810" w:type="dxa"/>
            <w:shd w:val="clear" w:color="auto" w:fill="auto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Valoración y respeto por la diversidad y multiculturalidad</w:t>
            </w:r>
          </w:p>
        </w:tc>
      </w:tr>
      <w:tr w:rsidR="00B552DA" w:rsidRPr="00391352">
        <w:trPr>
          <w:trHeight w:val="175"/>
        </w:trPr>
        <w:tc>
          <w:tcPr>
            <w:tcW w:w="1147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8810" w:type="dxa"/>
            <w:shd w:val="clear" w:color="auto" w:fill="auto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Compromiso con la preservación del medio ambiente</w:t>
            </w:r>
          </w:p>
        </w:tc>
      </w:tr>
      <w:tr w:rsidR="00B552DA" w:rsidRPr="00391352">
        <w:trPr>
          <w:trHeight w:val="175"/>
        </w:trPr>
        <w:tc>
          <w:tcPr>
            <w:tcW w:w="1147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Gautami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8810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de trabajo en equipo</w:t>
            </w:r>
          </w:p>
        </w:tc>
      </w:tr>
      <w:tr w:rsidR="00B552DA" w:rsidRPr="00391352">
        <w:trPr>
          <w:trHeight w:val="176"/>
        </w:trPr>
        <w:tc>
          <w:tcPr>
            <w:tcW w:w="1147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Gautami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8810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de comunicación oral</w:t>
            </w:r>
          </w:p>
        </w:tc>
      </w:tr>
      <w:tr w:rsidR="00B552DA" w:rsidRPr="00391352">
        <w:trPr>
          <w:trHeight w:val="175"/>
        </w:trPr>
        <w:tc>
          <w:tcPr>
            <w:tcW w:w="1147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Gautami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8810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Capacidad de comunicación escrita</w:t>
            </w:r>
          </w:p>
        </w:tc>
      </w:tr>
      <w:tr w:rsidR="00B552DA" w:rsidRPr="00391352">
        <w:trPr>
          <w:trHeight w:val="232"/>
        </w:trPr>
        <w:tc>
          <w:tcPr>
            <w:tcW w:w="1147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Gautami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8810" w:type="dxa"/>
          </w:tcPr>
          <w:p w:rsidR="00B552DA" w:rsidRPr="00391352" w:rsidRDefault="00B552DA" w:rsidP="00391352">
            <w:pPr>
              <w:ind w:left="142"/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</w:pPr>
            <w:r w:rsidRPr="00391352">
              <w:rPr>
                <w:rFonts w:ascii="Futura Book BT" w:hAnsi="Futura Book BT" w:cs="Arial"/>
                <w:color w:val="000000" w:themeColor="text1"/>
                <w:sz w:val="20"/>
                <w:szCs w:val="20"/>
                <w:lang w:val="es-MX"/>
              </w:rPr>
              <w:t>- Habilidades en el uso de las tecnologías de la información y de la comunicación</w:t>
            </w:r>
          </w:p>
        </w:tc>
      </w:tr>
    </w:tbl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MX"/>
        </w:rPr>
      </w:pPr>
    </w:p>
    <w:p w:rsidR="00B552DA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:rsidR="000D2939" w:rsidRDefault="000D2939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:rsidR="000D2939" w:rsidRPr="00391352" w:rsidRDefault="000D2939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  <w:bookmarkStart w:id="0" w:name="_GoBack"/>
      <w:bookmarkEnd w:id="0"/>
    </w:p>
    <w:p w:rsid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lastRenderedPageBreak/>
        <w:t xml:space="preserve">13. SABERES / CONTENIDOS 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 xml:space="preserve">(Corresponde a los saberes / contenidos pertinentes y suficientes para el logro de los Resultados </w:t>
      </w:r>
      <w:r w:rsidR="00F733F1"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de Aprendizaje de la Asignatura</w:t>
      </w:r>
      <w:r w:rsidR="00862FCE"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. Puede ingresar cuantos contenidos quiera sin necesidad de explicar cada uno, ya que supone que el solo enunciado del saber a tratar con sus estudiantes es suficiente para entender la materia a abordar.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)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:rsidR="004E31F7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Una vez finalizado el Curso se espera que los y las estudiantes  se habrán interiorizado y comprenderán los siguientes contenidos: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Políticas públicas territoriales, sectoriales  y sociales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proofErr w:type="spellStart"/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Operacionalización</w:t>
      </w:r>
      <w:proofErr w:type="spellEnd"/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 las políticas públicas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Concepto de territorio y hábitat residencial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Metodologías de investigación territorial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Análisis de políticas territoriales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Enfoques de las políticas públicas</w:t>
      </w:r>
    </w:p>
    <w:p w:rsidR="00B552DA" w:rsidRP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47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Aplicación de las políticas y programas sociales en el ámbito local, Municipio de la </w:t>
      </w:r>
      <w:proofErr w:type="spellStart"/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="00391352" w:rsidRPr="004E31F7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:rsid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14. METODOLOGÍA 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(Descripción breve de las principales estrategias metodológicas que se desplegarán en el curso, pertinentes para alcanzar los Resultados de Aprendizaje (por ejemplo: clase expositiva, lecturas, resolución de problemas, estudio de caso, proyectos, etc.). Indicar situaciones especiales en el formato del curso, como salidas a terreno, ayudantías de asistencia obligatoria, etc.)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</w:p>
    <w:p w:rsidR="004E31F7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El desarrollo del Curso contempla trabajar con distintas estrategias metodológicas para alcanzar  los objetivos de aprendizaje planteados, a continuación las principales:</w:t>
      </w:r>
    </w:p>
    <w:p w:rsidR="004E31F7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Clases expositivas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Lectura y discusión de literatura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Lecturas individuales y colectivas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Estudio de caso</w:t>
      </w:r>
    </w:p>
    <w:p w:rsidR="004E31F7" w:rsidRDefault="004E31F7" w:rsidP="004E31F7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Debates </w:t>
      </w:r>
    </w:p>
    <w:p w:rsidR="004E31F7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4E31F7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Es importante precisar que la mayor cantidad de las clases serán expositivas, donde las y los estudiantes deberán participar a través de la lectura de bibliografía obligatoria y/o referencial. </w:t>
      </w:r>
    </w:p>
    <w:p w:rsidR="004E31F7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4E31F7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Complementario a esto, las y los estudiantes deberán trabajar individualmente lecturas a través de la construcción de fichas de lecturas y discutirlas en un espacio de debate en U-Cursos. El debate será considerado como una evaluación de participación. </w:t>
      </w:r>
    </w:p>
    <w:p w:rsidR="004E31F7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Como un eje transversal del curso, y a modo de poner en práctica los conocimientos adquiridos, se realizará un estudio de caso, trabajado en equipo, el que supondrá una visita obligatoria a terreno (en el horario del curso) a la comuna de La </w:t>
      </w:r>
      <w:proofErr w:type="spellStart"/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 </w:t>
      </w:r>
    </w:p>
    <w:p w:rsidR="004E31F7" w:rsidRPr="004E31F7" w:rsidRDefault="004E31F7" w:rsidP="004E31F7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562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15. METODOLOGÍAS DE EVALUACIÓN 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 xml:space="preserve">(Descripción breve de las principales herramientas y situaciones de evaluación que den cuenta del logro de los Resultados de Aprendizaje (por ejemplo: pruebas escritas de diversos tipos, reportes grupales, examen oral, 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lastRenderedPageBreak/>
        <w:t>confección de material, nota por asistencia etc. Establecer ponderación - % - para cada una de ellas. Para CFG, se deberán establecer al menos 3 notas parciales)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:rsid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El Curso plantea tres tipos de evaluaciones, con las siguientes ponderaciones:</w:t>
      </w:r>
    </w:p>
    <w:p w:rsidR="0071330C" w:rsidRDefault="0071330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71330C" w:rsidRDefault="0071330C" w:rsidP="0071330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jc w:val="center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noProof/>
          <w:color w:val="000000" w:themeColor="text1"/>
          <w:sz w:val="22"/>
          <w:szCs w:val="22"/>
        </w:rPr>
        <w:drawing>
          <wp:inline distT="0" distB="0" distL="0" distR="0">
            <wp:extent cx="5164133" cy="209320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605" t="33837" r="16211" b="14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975" cy="209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a) 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Las lecturas tienen como propósito desarrollar en los estudiantes una capacidad de reflexión y análisis crítico y comparativo para responder a preguntas respecto a textos sugeridos por el equipo docente. Para cada lectura se entregarán tres textos, de los cuales cada alumno deberá escoger 1 para leer y responder a las preguntas planteadas, y además tiene que seleccionar y leer otro para poder participar activamente en la socialización de las lecturas en clase.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b) 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El ejercicio grupal tiene como propósito por una parte desarrollar la capacidad de los estudiantes para trabajar en equipo, intentando promover una composición de los equipos con estudiantes de distintas carreras.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El objetivo del ejercicio es vincular a los estudiantes directamente con la realidad y comunidad local de la Comuna de La </w:t>
      </w:r>
      <w:proofErr w:type="spellStart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donde deberán identificar y  seleccionar una problemática a abordar desarrollando un diagnóstico participativo conducente a un proceso colectivo de identificación de alternativas de resolución del problema encontrado.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c) 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La participación y aportes pretenden involucrar activa y participativamente al estudiante en su propio aprendizaje por la vía de compartir con el curso noticias, experiencias, seminarios o eventos referidos a la temática del curso. Estos se podrán entregar de distintas formas, ya sea utilizando el foro de U</w:t>
      </w:r>
      <w:r w:rsidR="00E67B0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-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Cursos, creando un blog, subiendo material al </w:t>
      </w:r>
      <w:proofErr w:type="spellStart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dropbox</w:t>
      </w:r>
      <w:proofErr w:type="spellEnd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del curso, etc. </w:t>
      </w:r>
    </w:p>
    <w:p w:rsid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71330C" w:rsidRPr="00EF6EBC" w:rsidRDefault="00E67B0E" w:rsidP="00990C6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jc w:val="center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67B0E">
        <w:rPr>
          <w:rFonts w:ascii="Futura Book BT" w:hAnsi="Futura Book BT" w:cs="Arial"/>
          <w:bCs/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5784291" cy="3727654"/>
            <wp:effectExtent l="19050" t="0" r="6909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802" t="21946" r="14432" b="19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5" cy="372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738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16. REQUISITOS DE APROBACIÓN 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 xml:space="preserve">(Elementos normativos para la aprobación como por ejemplo: Examen Final. Deberá contemplarse una escala de evaluación desde el 1,0 al </w:t>
      </w:r>
      <w:proofErr w:type="gramStart"/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7,0 ,</w:t>
      </w:r>
      <w:proofErr w:type="gramEnd"/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 xml:space="preserve"> con un decimal. Estos campos no son obligatorios para CFG y quedan a revisión del Equipo Docente)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552DA" w:rsidRPr="00391352">
        <w:trPr>
          <w:trHeight w:val="1463"/>
        </w:trPr>
        <w:tc>
          <w:tcPr>
            <w:tcW w:w="10064" w:type="dxa"/>
            <w:tcBorders>
              <w:bottom w:val="single" w:sz="4" w:space="0" w:color="auto"/>
            </w:tcBorders>
          </w:tcPr>
          <w:p w:rsidR="00B552DA" w:rsidRPr="00391352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</w:p>
          <w:p w:rsidR="00B552DA" w:rsidRPr="00391352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</w:pPr>
            <w:r w:rsidRPr="00391352"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>REQUISITOS PARA PRESENTACIÓN A EXÁMEN (si lo hubiere):</w:t>
            </w:r>
            <w:r w:rsidR="0071330C"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No hay.</w:t>
            </w:r>
          </w:p>
          <w:p w:rsidR="00B552DA" w:rsidRPr="00391352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:rsidR="00B552DA" w:rsidRPr="00391352" w:rsidRDefault="00B552DA" w:rsidP="003913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Futura Book BT" w:hAnsi="Futura Book BT" w:cs="Arial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r w:rsidRPr="00391352"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>OTROS REQUISITOS (si los hubiere):</w:t>
            </w:r>
            <w:r w:rsidR="0071330C">
              <w:rPr>
                <w:rFonts w:ascii="Futura Book BT" w:hAnsi="Futura Book BT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No hay.</w:t>
            </w:r>
          </w:p>
        </w:tc>
      </w:tr>
    </w:tbl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17. PALABRAS CLAVE </w:t>
      </w:r>
      <w:r w:rsid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(Palabras clave del propósito general de la asignatura y sus contenidos, que permiten identificar la temática del curso en sistemas de búsqueda automatizada. Un total de 5 para CFG es lo recomendable</w:t>
      </w:r>
      <w:r w:rsidR="00D4074C"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. Separar por comas cada término de palabra o concepto</w:t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)</w:t>
      </w:r>
    </w:p>
    <w:p w:rsidR="00B552DA" w:rsidRPr="00391352" w:rsidRDefault="0071330C" w:rsidP="003913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312"/>
        </w:tabs>
        <w:ind w:left="142"/>
        <w:rPr>
          <w:rFonts w:ascii="Futura Book BT" w:hAnsi="Futura Book BT" w:cs="Arial"/>
          <w:color w:val="000000" w:themeColor="text1"/>
          <w:sz w:val="22"/>
          <w:szCs w:val="22"/>
          <w:lang w:val="es-ES"/>
        </w:rPr>
      </w:pPr>
      <w:r w:rsidRPr="004E31F7"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 xml:space="preserve">TERRITORIO – POLÍTICAS PÚBLICAS – PARTICIPACIÓN – INCLUSIÓN </w:t>
      </w:r>
      <w:r w:rsidR="004E31F7"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>–</w:t>
      </w:r>
      <w:r w:rsidRPr="004E31F7"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 xml:space="preserve"> DERECHOS</w:t>
      </w:r>
      <w:r w:rsidR="004E31F7"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 xml:space="preserve"> </w:t>
      </w:r>
      <w:r w:rsidR="00F74A42">
        <w:rPr>
          <w:rFonts w:ascii="Futura Book BT" w:hAnsi="Futura Book BT" w:cs="Arial"/>
          <w:color w:val="000000" w:themeColor="text1"/>
          <w:sz w:val="22"/>
          <w:szCs w:val="22"/>
          <w:lang w:val="es-ES"/>
        </w:rPr>
        <w:t>– AMBITO LOCAL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0D2939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n-GB"/>
        </w:rPr>
      </w:pPr>
      <w:r w:rsidRPr="000D2939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n-GB"/>
        </w:rPr>
        <w:lastRenderedPageBreak/>
        <w:t xml:space="preserve">18. BIBLIOGRAFÍA OBLIGATORIA </w:t>
      </w:r>
    </w:p>
    <w:p w:rsidR="00B57931" w:rsidRDefault="00EF6EBC" w:rsidP="00B5793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n-US"/>
        </w:rPr>
      </w:pPr>
      <w:r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n-US"/>
        </w:rPr>
        <w:t>•</w:t>
      </w:r>
      <w:r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n-US"/>
        </w:rPr>
        <w:tab/>
      </w:r>
      <w:proofErr w:type="spellStart"/>
      <w:r w:rsidR="00B57931"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n-US"/>
        </w:rPr>
        <w:t>Arnstein</w:t>
      </w:r>
      <w:proofErr w:type="spellEnd"/>
      <w:r w:rsidR="00B57931"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n-US"/>
        </w:rPr>
        <w:t>, Sherry, Ladder of citizen participation, 1969</w:t>
      </w:r>
    </w:p>
    <w:p w:rsidR="00B57931" w:rsidRDefault="00B57931" w:rsidP="00B5793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n-US"/>
        </w:rPr>
      </w:pPr>
    </w:p>
    <w:p w:rsidR="00B57931" w:rsidRPr="00B57931" w:rsidRDefault="00B57931" w:rsidP="00B57931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</w:rPr>
      </w:pPr>
      <w:r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Gobierno de Chile, </w:t>
      </w:r>
      <w:r w:rsidR="00127D10"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Agenda de Género</w:t>
      </w:r>
      <w:r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para la equidad e igualdad entre hombres y mujeres, Presidenta Bachelet, 2014</w:t>
      </w:r>
    </w:p>
    <w:p w:rsidR="00B57931" w:rsidRDefault="00B57931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B57931" w:rsidRDefault="00B57931" w:rsidP="00B57931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   </w:t>
      </w:r>
      <w:r w:rsidR="00EF6EBC"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Salinas, J; Cubillos, J. (Co</w:t>
      </w:r>
      <w:r w:rsidR="00E67B0E"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o</w:t>
      </w:r>
      <w:r w:rsidR="00EF6EBC"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rd.) (2001). “Espacios locales y desarrollo de</w:t>
      </w: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la ciudadanía: 30 innovaciones </w:t>
      </w:r>
      <w:r w:rsidR="00EF6EBC"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para construir democracia”. Santiago de Chile: Universidad de Chile, Centro de Análisis de Políticas Públicas. 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67B0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•</w:t>
      </w: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Martí, J. (2002)</w:t>
      </w: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 “La investigación – acción par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ticipativa. Estructura y fases”. Junio 20, 2015, de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Redcimas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Sitio web: http://www.redcimas.org/wordpress/wp-content/uploads/2012/08/m_JMarti_IAPFASES.pdf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•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  <w:t>Ministerio Secretaría General de Gobierno. (2011). “Ley 20.500: Sobre Asociaciones y Participación Ciudadana en la Gestión Pública”. Santiago de Chile.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4E31F7">
        <w:rPr>
          <w:rFonts w:ascii="Futura Book BT" w:hAnsi="Futura Book BT" w:cs="Arial"/>
          <w:bCs/>
          <w:color w:val="000000" w:themeColor="text1"/>
          <w:sz w:val="22"/>
          <w:szCs w:val="22"/>
        </w:rPr>
        <w:t>•</w:t>
      </w:r>
      <w:r w:rsidRPr="004E31F7">
        <w:rPr>
          <w:rFonts w:ascii="Futura Book BT" w:hAnsi="Futura Book BT" w:cs="Arial"/>
          <w:bCs/>
          <w:color w:val="000000" w:themeColor="text1"/>
          <w:sz w:val="22"/>
          <w:szCs w:val="22"/>
        </w:rPr>
        <w:tab/>
        <w:t xml:space="preserve">Moreno, L; </w:t>
      </w:r>
      <w:proofErr w:type="spellStart"/>
      <w:r w:rsidRPr="004E31F7">
        <w:rPr>
          <w:rFonts w:ascii="Futura Book BT" w:hAnsi="Futura Book BT" w:cs="Arial"/>
          <w:bCs/>
          <w:color w:val="000000" w:themeColor="text1"/>
          <w:sz w:val="22"/>
          <w:szCs w:val="22"/>
        </w:rPr>
        <w:t>Rosenbluth</w:t>
      </w:r>
      <w:proofErr w:type="spellEnd"/>
      <w:r w:rsidRPr="004E31F7">
        <w:rPr>
          <w:rFonts w:ascii="Futura Book BT" w:hAnsi="Futura Book BT" w:cs="Arial"/>
          <w:bCs/>
          <w:color w:val="000000" w:themeColor="text1"/>
          <w:sz w:val="22"/>
          <w:szCs w:val="22"/>
        </w:rPr>
        <w:t>, M. (</w:t>
      </w:r>
      <w:proofErr w:type="spellStart"/>
      <w:r w:rsidRPr="004E31F7">
        <w:rPr>
          <w:rFonts w:ascii="Futura Book BT" w:hAnsi="Futura Book BT" w:cs="Arial"/>
          <w:bCs/>
          <w:color w:val="000000" w:themeColor="text1"/>
          <w:sz w:val="22"/>
          <w:szCs w:val="22"/>
        </w:rPr>
        <w:t>Cord</w:t>
      </w:r>
      <w:proofErr w:type="spellEnd"/>
      <w:r w:rsidRPr="004E31F7">
        <w:rPr>
          <w:rFonts w:ascii="Futura Book BT" w:hAnsi="Futura Book BT" w:cs="Arial"/>
          <w:bCs/>
          <w:color w:val="000000" w:themeColor="text1"/>
          <w:sz w:val="22"/>
          <w:szCs w:val="22"/>
        </w:rPr>
        <w:t xml:space="preserve">) (2010). 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“Umbrales sociales para Chile: Hacia una futura Política Social”. Santiago, Chile: Fundación para la Superación de la Pobreza. </w:t>
      </w:r>
      <w:r w:rsidR="00E67B0E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</w:t>
      </w:r>
      <w:r w:rsidR="00E67B0E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1-257.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•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  <w:t xml:space="preserve">Municipalidad de La </w:t>
      </w:r>
      <w:proofErr w:type="spellStart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 (2014). “Guía de Información Comunal”. Santiago de Chile: SECPLAC.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7931" w:rsidRDefault="00EF6EBC" w:rsidP="00B5793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•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  <w:t xml:space="preserve">Municipalidad de La </w:t>
      </w:r>
      <w:proofErr w:type="spellStart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 (2014). “Plan de Desarrollo Comunal 2012-2016”. Santiago de Chile: SECPLAC.</w:t>
      </w:r>
    </w:p>
    <w:p w:rsidR="00B57931" w:rsidRDefault="00B57931" w:rsidP="00B5793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7931" w:rsidRDefault="00B57931" w:rsidP="00B57931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B57931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Oliveras, R; Mesías, R; Romero, G, (coord.) (2007). “Herramientas de Planeamiento Participativo para la gestión Local y el Hábitat”. La Habana, Cuba: Programa CYTED. Pp. 37-44.</w:t>
      </w:r>
    </w:p>
    <w:p w:rsidR="00B57931" w:rsidRPr="00B57931" w:rsidRDefault="00B57931" w:rsidP="00B5793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7931" w:rsidRPr="00B57931" w:rsidRDefault="00B57931" w:rsidP="00B57931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MINVU, Política Nacional de Desarrollo Urbano, ciudades sustentables y calidad de vida, 2014</w:t>
      </w:r>
    </w:p>
    <w:p w:rsidR="00B57931" w:rsidRPr="00EF6EBC" w:rsidRDefault="00B57931" w:rsidP="00B5793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7931" w:rsidRPr="00EF6EBC" w:rsidRDefault="00B57931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142"/>
        <w:rPr>
          <w:rFonts w:ascii="Futura Book BT" w:hAnsi="Futura Book BT" w:cs="Arial"/>
          <w:b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6"/>
          <w:szCs w:val="26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 xml:space="preserve">19. BIBLIOGRAFÍA COMPLEMENTARIA </w:t>
      </w:r>
    </w:p>
    <w:p w:rsidR="00EF6EBC" w:rsidRPr="00EF6EBC" w:rsidRDefault="00E67B0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Herrero, M. (2009). “La dimensión material y simbólica de los conflictos territoriales. Una perspectiva para la gobernabilidad de los territorios”. En “Cohesión e inteligencia territorial. Dinámicas y procesos para una mejor planificación y toma de decisiones”. Valencia, España: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Universitat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 Valencia. </w:t>
      </w:r>
      <w:r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</w:t>
      </w: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265-290.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67B0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Artigas, C. (2005). “Una mirada a 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protección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social desde los derechos humanos y otros contextos internacionales”. Santiago de Chile: Naciones Unidas.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67B0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lastRenderedPageBreak/>
        <w:t xml:space="preserve">•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Romero, G; Mesías, R. (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Cord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.). (2004). “La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participación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en el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diseño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urbano y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arquitectónico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en 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producción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social del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hábitat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”. México, DF: CYTED.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67B0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Katzman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R;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Filgueira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C. (1999). “Marco Conceptual sobre Activos, Vulnerabilidad y Estructura de Oportunidades”. Montevideo: CEPAL.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67B0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Secretaría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Ejecutiva de Medio Ambiente y Territorio. (2007). “Manual de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Participación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Ciudadana para Iniciativas del Ministerio de Obras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Públicas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”. Santiago de Chile: MOP.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67B0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Alberich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T;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Arnanz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L;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Basagoiti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M; Belmonte, R;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Bru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P; Espinar, C;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García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N;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Habegger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S; Heras, P;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Hernández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D; Lorenzana, C;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Martín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P;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Montañés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M;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Villasante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T;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Tenze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A. (2009). “Manual Metodologías Participativas”. Madrid: Observatorio Internacional de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Ciudadanía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y Medio Ambiente Sostenible (CIMAS).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67B0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Ganuza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E;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Olivari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L;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Paño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P; Buitrago, L;  Lorenzana, C. (2003). “La Democracia en acción. Una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visión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desde las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metodologías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participativas”. España: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Antígona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procesos participativos.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67B0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Correa, E;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Noe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M. (1998). “Nociones de una ciudadanía que crece”. Santiago de Chile: FLACSO-Chile.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    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Romero, G; Mesías, R. (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Cord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.). (1999). “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Participación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planeamiento y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diseño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del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hábitat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popular”. La Habana - Ciudad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México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: CYTED.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Kaztman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R. (Diciembre 2001). “Seducidos y abandonados: El aislamiento social de los pobres urbanos”. Revista de la CEPAL, 75, 189.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Arriagada, I. (Agosto 2004). Dimensiones de la pobreza y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políticas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desde una perspectiva de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género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 En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Reunión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 Expertos “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Políticas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y programas de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superación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 la pobreza desde la perspectiva de la gobernabilidad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democrática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y el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género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”. Quito, Ecuador: CEPAL. </w:t>
      </w:r>
      <w:proofErr w:type="spellStart"/>
      <w:proofErr w:type="gram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pp</w:t>
      </w:r>
      <w:proofErr w:type="spellEnd"/>
      <w:proofErr w:type="gram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1-15.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Narayan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D. (2000). “La voz de los pobres.</w:t>
      </w: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¿Hay alguien que nos escuche?”. Madrid, España: Ediciones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Mundi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-Prensa.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Boisier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S. (Diciembre 2005). “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Crónica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 una muerte frustrada: el territorio en 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globalización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”. 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recuperación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 las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políticas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territoriales.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Politika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, Revista de Ciencias Sociales, N 1,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pp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11-25.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Rodríguez-Páez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, F; Vaca, D; Manrique, L. (Julio-Diciembre 2012). “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Revisión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 los conceptos de territorio,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población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y salud en el contexto colombiano”. Cien.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Tecnol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 Salud. Vis.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Ocul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., Vol. 10, N. 2,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pp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79-92.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Subsecretaría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Prevención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del Delito. (2013). “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Victimización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ENUSC y casos policiales de delitos de mayor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connotación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social”. Santiago de Chile: Ministerio del Interior y Seguridad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Pública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Municipalidad de 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 (2013). “Plan Anual de Desarrollo de la Educación Municipal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lastRenderedPageBreak/>
        <w:t>(PADEM)”. Santiago de Chile: Dirección de Servicios Traspasados Salud – Educación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Municipalidad de 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. (2013). “Plan Salud”. Santiago de Chile: Dirección de Servicios Traspasados Salud – Educación.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Municipalidad de 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 (2010). “Gestión Ambiental Local Sustentable de Residuos Sólidos Domésticos: El caso de 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”. Santiago de Chile: Dirección de Gestión Ambiental.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8A5C8E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•            </w:t>
      </w:r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Municipalidad de La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Pintana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. (2010). “Manual de Buenas </w:t>
      </w:r>
      <w:proofErr w:type="spellStart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>Prácticas</w:t>
      </w:r>
      <w:proofErr w:type="spellEnd"/>
      <w:r w:rsidR="00EF6EBC" w:rsidRPr="00EF6EBC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 xml:space="preserve"> Ambientales”. Santiago de Chile: Dirección de Gestión Ambiental.</w:t>
      </w: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EF6EBC" w:rsidRPr="00EF6EBC" w:rsidRDefault="00EF6EBC" w:rsidP="00EF6EB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B552DA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715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</w:p>
    <w:p w:rsidR="00B552DA" w:rsidRPr="00391352" w:rsidRDefault="00391352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1629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</w:pP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  <w:r w:rsidRPr="00391352">
        <w:rPr>
          <w:rFonts w:ascii="Futura Book BT" w:hAnsi="Futura Book BT" w:cs="Arial"/>
          <w:b/>
          <w:bCs/>
          <w:color w:val="000000" w:themeColor="text1"/>
          <w:sz w:val="26"/>
          <w:szCs w:val="26"/>
          <w:lang w:val="es-ES"/>
        </w:rPr>
        <w:t>20. RECURSOS WEB - links</w:t>
      </w:r>
      <w:r w:rsidR="00391352">
        <w:rPr>
          <w:rFonts w:ascii="Futura Book BT" w:hAnsi="Futura Book BT" w:cs="Arial"/>
          <w:bCs/>
          <w:color w:val="000000" w:themeColor="text1"/>
          <w:sz w:val="26"/>
          <w:szCs w:val="26"/>
          <w:lang w:val="es-ES"/>
        </w:rPr>
        <w:br/>
      </w:r>
      <w:r w:rsidRPr="00391352">
        <w:rPr>
          <w:rFonts w:ascii="Futura Book BT" w:hAnsi="Futura Book BT" w:cs="Arial"/>
          <w:color w:val="000000" w:themeColor="text1"/>
          <w:sz w:val="20"/>
          <w:szCs w:val="20"/>
          <w:lang w:val="es-ES"/>
        </w:rPr>
        <w:t>(Recursos de referencia para el apoyo del proceso formativo del estudiante. Indicar la dirección completa del link)</w:t>
      </w:r>
    </w:p>
    <w:p w:rsidR="00B552DA" w:rsidRPr="00391352" w:rsidRDefault="00B552DA" w:rsidP="00391352">
      <w:pPr>
        <w:ind w:left="142"/>
        <w:rPr>
          <w:rFonts w:ascii="Futura Book BT" w:hAnsi="Futura Book BT" w:cs="Arial"/>
          <w:b/>
          <w:color w:val="000000" w:themeColor="text1"/>
          <w:sz w:val="20"/>
          <w:szCs w:val="20"/>
          <w:lang w:val="es-ES"/>
        </w:rPr>
      </w:pPr>
    </w:p>
    <w:p w:rsidR="00B552DA" w:rsidRPr="00391352" w:rsidRDefault="00391352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283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</w:p>
    <w:p w:rsidR="00B552DA" w:rsidRPr="00391352" w:rsidRDefault="00391352" w:rsidP="0039135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160"/>
        </w:tabs>
        <w:autoSpaceDE w:val="0"/>
        <w:autoSpaceDN w:val="0"/>
        <w:adjustRightInd w:val="0"/>
        <w:ind w:left="142"/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</w:pPr>
      <w:r w:rsidRPr="00391352">
        <w:rPr>
          <w:rFonts w:ascii="Futura Book BT" w:hAnsi="Futura Book BT" w:cs="Arial"/>
          <w:bCs/>
          <w:color w:val="000000" w:themeColor="text1"/>
          <w:sz w:val="22"/>
          <w:szCs w:val="22"/>
          <w:lang w:val="es-ES"/>
        </w:rPr>
        <w:tab/>
      </w:r>
    </w:p>
    <w:p w:rsidR="00BC2A99" w:rsidRPr="00391352" w:rsidRDefault="00BC2A99" w:rsidP="00391352">
      <w:pPr>
        <w:ind w:left="142"/>
        <w:rPr>
          <w:rFonts w:ascii="Futura Book BT" w:hAnsi="Futura Book BT" w:cs="Arial"/>
          <w:b/>
          <w:sz w:val="28"/>
          <w:szCs w:val="28"/>
        </w:rPr>
      </w:pPr>
    </w:p>
    <w:sectPr w:rsidR="00BC2A99" w:rsidRPr="00391352" w:rsidSect="00391352">
      <w:headerReference w:type="default" r:id="rId10"/>
      <w:footerReference w:type="default" r:id="rId11"/>
      <w:pgSz w:w="12240" w:h="15840"/>
      <w:pgMar w:top="1843" w:right="1041" w:bottom="184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59E" w:rsidRDefault="00EF659E">
      <w:r>
        <w:separator/>
      </w:r>
    </w:p>
  </w:endnote>
  <w:endnote w:type="continuationSeparator" w:id="0">
    <w:p w:rsidR="00EF659E" w:rsidRDefault="00EF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 BT">
    <w:altName w:val="Cambria"/>
    <w:panose1 w:val="020B0502020204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BF" w:rsidRDefault="00DC7115">
    <w:pPr>
      <w:pStyle w:val="Piedepgina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-217170</wp:posOffset>
          </wp:positionV>
          <wp:extent cx="7772400" cy="787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_carta_cf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7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59E" w:rsidRDefault="00EF659E">
      <w:r>
        <w:separator/>
      </w:r>
    </w:p>
  </w:footnote>
  <w:footnote w:type="continuationSeparator" w:id="0">
    <w:p w:rsidR="00EF659E" w:rsidRDefault="00EF6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BF" w:rsidRPr="00522B37" w:rsidRDefault="00DC7115" w:rsidP="00522B37">
    <w:pPr>
      <w:pStyle w:val="Encabezado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-544195</wp:posOffset>
          </wp:positionV>
          <wp:extent cx="7772400" cy="1066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carta_cf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66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CB3BBF" w:rsidRDefault="00CB3BBF" w:rsidP="004274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A5AB2"/>
    <w:multiLevelType w:val="hybridMultilevel"/>
    <w:tmpl w:val="D9345708"/>
    <w:lvl w:ilvl="0" w:tplc="57E2E030">
      <w:start w:val="18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4166BFD"/>
    <w:multiLevelType w:val="hybridMultilevel"/>
    <w:tmpl w:val="3A1E00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261C03"/>
    <w:multiLevelType w:val="hybridMultilevel"/>
    <w:tmpl w:val="F3161834"/>
    <w:lvl w:ilvl="0" w:tplc="09B00A8C">
      <w:start w:val="1"/>
      <w:numFmt w:val="decimal"/>
      <w:lvlText w:val="%1."/>
      <w:lvlJc w:val="left"/>
      <w:pPr>
        <w:ind w:left="510" w:hanging="360"/>
      </w:pPr>
      <w:rPr>
        <w:rFonts w:hint="default"/>
        <w:sz w:val="36"/>
        <w:szCs w:val="36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230" w:hanging="360"/>
      </w:pPr>
    </w:lvl>
    <w:lvl w:ilvl="2" w:tplc="340A001B" w:tentative="1">
      <w:start w:val="1"/>
      <w:numFmt w:val="lowerRoman"/>
      <w:lvlText w:val="%3."/>
      <w:lvlJc w:val="right"/>
      <w:pPr>
        <w:ind w:left="1950" w:hanging="180"/>
      </w:pPr>
    </w:lvl>
    <w:lvl w:ilvl="3" w:tplc="340A000F" w:tentative="1">
      <w:start w:val="1"/>
      <w:numFmt w:val="decimal"/>
      <w:lvlText w:val="%4."/>
      <w:lvlJc w:val="left"/>
      <w:pPr>
        <w:ind w:left="2670" w:hanging="360"/>
      </w:pPr>
    </w:lvl>
    <w:lvl w:ilvl="4" w:tplc="340A0019" w:tentative="1">
      <w:start w:val="1"/>
      <w:numFmt w:val="lowerLetter"/>
      <w:lvlText w:val="%5."/>
      <w:lvlJc w:val="left"/>
      <w:pPr>
        <w:ind w:left="3390" w:hanging="360"/>
      </w:pPr>
    </w:lvl>
    <w:lvl w:ilvl="5" w:tplc="340A001B" w:tentative="1">
      <w:start w:val="1"/>
      <w:numFmt w:val="lowerRoman"/>
      <w:lvlText w:val="%6."/>
      <w:lvlJc w:val="right"/>
      <w:pPr>
        <w:ind w:left="4110" w:hanging="180"/>
      </w:pPr>
    </w:lvl>
    <w:lvl w:ilvl="6" w:tplc="340A000F" w:tentative="1">
      <w:start w:val="1"/>
      <w:numFmt w:val="decimal"/>
      <w:lvlText w:val="%7."/>
      <w:lvlJc w:val="left"/>
      <w:pPr>
        <w:ind w:left="4830" w:hanging="360"/>
      </w:pPr>
    </w:lvl>
    <w:lvl w:ilvl="7" w:tplc="340A0019" w:tentative="1">
      <w:start w:val="1"/>
      <w:numFmt w:val="lowerLetter"/>
      <w:lvlText w:val="%8."/>
      <w:lvlJc w:val="left"/>
      <w:pPr>
        <w:ind w:left="5550" w:hanging="360"/>
      </w:pPr>
    </w:lvl>
    <w:lvl w:ilvl="8" w:tplc="34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463A6E97"/>
    <w:multiLevelType w:val="hybridMultilevel"/>
    <w:tmpl w:val="090681E4"/>
    <w:lvl w:ilvl="0" w:tplc="2C58BA70">
      <w:numFmt w:val="bullet"/>
      <w:lvlText w:val="-"/>
      <w:lvlJc w:val="left"/>
      <w:pPr>
        <w:ind w:left="502" w:hanging="360"/>
      </w:pPr>
      <w:rPr>
        <w:rFonts w:ascii="Futura Book BT" w:eastAsia="Times New Roman" w:hAnsi="Futura Book BT" w:cs="Aria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0A40AC8"/>
    <w:multiLevelType w:val="multilevel"/>
    <w:tmpl w:val="F102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85FEE"/>
    <w:multiLevelType w:val="hybridMultilevel"/>
    <w:tmpl w:val="132828B6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37"/>
    <w:rsid w:val="000A7A49"/>
    <w:rsid w:val="000B79A7"/>
    <w:rsid w:val="000B7F00"/>
    <w:rsid w:val="000D25D6"/>
    <w:rsid w:val="000D2939"/>
    <w:rsid w:val="00104893"/>
    <w:rsid w:val="0011280B"/>
    <w:rsid w:val="00127D10"/>
    <w:rsid w:val="0015200E"/>
    <w:rsid w:val="001B6A4E"/>
    <w:rsid w:val="00217E5D"/>
    <w:rsid w:val="00221AFD"/>
    <w:rsid w:val="002225FE"/>
    <w:rsid w:val="00255E98"/>
    <w:rsid w:val="00291197"/>
    <w:rsid w:val="00297551"/>
    <w:rsid w:val="002C1596"/>
    <w:rsid w:val="002C70EC"/>
    <w:rsid w:val="002D1DE6"/>
    <w:rsid w:val="002D7D3D"/>
    <w:rsid w:val="003062A2"/>
    <w:rsid w:val="003272C4"/>
    <w:rsid w:val="003329BC"/>
    <w:rsid w:val="003520AF"/>
    <w:rsid w:val="00391352"/>
    <w:rsid w:val="003A5619"/>
    <w:rsid w:val="0042298A"/>
    <w:rsid w:val="004235DB"/>
    <w:rsid w:val="00426AFD"/>
    <w:rsid w:val="00427423"/>
    <w:rsid w:val="00454D15"/>
    <w:rsid w:val="00455810"/>
    <w:rsid w:val="004838DE"/>
    <w:rsid w:val="004A4396"/>
    <w:rsid w:val="004B666E"/>
    <w:rsid w:val="004C7922"/>
    <w:rsid w:val="004E31F7"/>
    <w:rsid w:val="004F4B09"/>
    <w:rsid w:val="00522B37"/>
    <w:rsid w:val="00522D4B"/>
    <w:rsid w:val="005359BB"/>
    <w:rsid w:val="00547932"/>
    <w:rsid w:val="0055796A"/>
    <w:rsid w:val="005868D4"/>
    <w:rsid w:val="005A2BCE"/>
    <w:rsid w:val="005E0815"/>
    <w:rsid w:val="005F01E3"/>
    <w:rsid w:val="00610DEF"/>
    <w:rsid w:val="00623257"/>
    <w:rsid w:val="006746FC"/>
    <w:rsid w:val="006A764C"/>
    <w:rsid w:val="006B47EB"/>
    <w:rsid w:val="006E1C7D"/>
    <w:rsid w:val="006E38DB"/>
    <w:rsid w:val="0071330C"/>
    <w:rsid w:val="00755EB0"/>
    <w:rsid w:val="00760821"/>
    <w:rsid w:val="00763A21"/>
    <w:rsid w:val="007C4FC3"/>
    <w:rsid w:val="00815A20"/>
    <w:rsid w:val="008232C7"/>
    <w:rsid w:val="008309A6"/>
    <w:rsid w:val="0084566D"/>
    <w:rsid w:val="00857387"/>
    <w:rsid w:val="00862FCE"/>
    <w:rsid w:val="008A5C8E"/>
    <w:rsid w:val="008D737E"/>
    <w:rsid w:val="009479A9"/>
    <w:rsid w:val="00947E76"/>
    <w:rsid w:val="00970144"/>
    <w:rsid w:val="00990C6B"/>
    <w:rsid w:val="009A6474"/>
    <w:rsid w:val="009E4A49"/>
    <w:rsid w:val="009F24C0"/>
    <w:rsid w:val="00A05A50"/>
    <w:rsid w:val="00A12E68"/>
    <w:rsid w:val="00A46EBC"/>
    <w:rsid w:val="00A47820"/>
    <w:rsid w:val="00A5467F"/>
    <w:rsid w:val="00A56475"/>
    <w:rsid w:val="00A73065"/>
    <w:rsid w:val="00A93617"/>
    <w:rsid w:val="00AA4746"/>
    <w:rsid w:val="00B00FB1"/>
    <w:rsid w:val="00B552DA"/>
    <w:rsid w:val="00B57931"/>
    <w:rsid w:val="00B70062"/>
    <w:rsid w:val="00B90DBC"/>
    <w:rsid w:val="00B93494"/>
    <w:rsid w:val="00BC2A99"/>
    <w:rsid w:val="00C20737"/>
    <w:rsid w:val="00C264F8"/>
    <w:rsid w:val="00C36D57"/>
    <w:rsid w:val="00C61FA9"/>
    <w:rsid w:val="00C73C40"/>
    <w:rsid w:val="00C94166"/>
    <w:rsid w:val="00C96388"/>
    <w:rsid w:val="00CB3BBF"/>
    <w:rsid w:val="00CC6491"/>
    <w:rsid w:val="00D2497A"/>
    <w:rsid w:val="00D308C6"/>
    <w:rsid w:val="00D4074C"/>
    <w:rsid w:val="00D4580E"/>
    <w:rsid w:val="00D642BD"/>
    <w:rsid w:val="00D77AC1"/>
    <w:rsid w:val="00DA61E8"/>
    <w:rsid w:val="00DC1A15"/>
    <w:rsid w:val="00DC7115"/>
    <w:rsid w:val="00DF1D03"/>
    <w:rsid w:val="00E0254C"/>
    <w:rsid w:val="00E32EE7"/>
    <w:rsid w:val="00E67B0E"/>
    <w:rsid w:val="00E93A07"/>
    <w:rsid w:val="00EB127F"/>
    <w:rsid w:val="00EC124F"/>
    <w:rsid w:val="00EC6DBE"/>
    <w:rsid w:val="00EF659E"/>
    <w:rsid w:val="00EF6EBC"/>
    <w:rsid w:val="00F11D7A"/>
    <w:rsid w:val="00F733F1"/>
    <w:rsid w:val="00F74A42"/>
    <w:rsid w:val="00F97898"/>
    <w:rsid w:val="00FC6240"/>
    <w:rsid w:val="00FE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924B78D-860E-42DD-BC59-53D1082F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3329BC"/>
    <w:pPr>
      <w:jc w:val="both"/>
    </w:pPr>
    <w:rPr>
      <w:rFonts w:ascii="Arial Narrow" w:hAnsi="Arial Narrow"/>
      <w:b/>
      <w:sz w:val="22"/>
      <w:szCs w:val="20"/>
      <w:lang w:val="es-ES" w:eastAsia="es-ES"/>
    </w:rPr>
  </w:style>
  <w:style w:type="character" w:styleId="Refdecomentario">
    <w:name w:val="annotation reference"/>
    <w:basedOn w:val="Fuentedeprrafopredeter"/>
    <w:semiHidden/>
    <w:rsid w:val="005359BB"/>
    <w:rPr>
      <w:sz w:val="16"/>
      <w:szCs w:val="16"/>
    </w:rPr>
  </w:style>
  <w:style w:type="paragraph" w:styleId="Textocomentario">
    <w:name w:val="annotation text"/>
    <w:basedOn w:val="Normal"/>
    <w:semiHidden/>
    <w:rsid w:val="005359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359BB"/>
    <w:rPr>
      <w:b/>
      <w:bCs/>
    </w:rPr>
  </w:style>
  <w:style w:type="paragraph" w:styleId="Textodeglobo">
    <w:name w:val="Balloon Text"/>
    <w:basedOn w:val="Normal"/>
    <w:semiHidden/>
    <w:rsid w:val="005359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5359B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359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B37"/>
    <w:rPr>
      <w:sz w:val="24"/>
      <w:szCs w:val="24"/>
    </w:rPr>
  </w:style>
  <w:style w:type="table" w:styleId="Tablaconcuadrcula">
    <w:name w:val="Table Grid"/>
    <w:basedOn w:val="Tablanormal"/>
    <w:uiPriority w:val="59"/>
    <w:rsid w:val="005F01E3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F11D7A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rsid w:val="00F11D7A"/>
    <w:rPr>
      <w:color w:val="0000FF"/>
      <w:u w:val="single"/>
    </w:rPr>
  </w:style>
  <w:style w:type="paragraph" w:styleId="Prrafodelista">
    <w:name w:val="List Paragraph"/>
    <w:basedOn w:val="Normal"/>
    <w:rsid w:val="008A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F5A79-1F75-49A1-9626-947AAD8C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2454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N° 928/2006/VAEGI</vt:lpstr>
    </vt:vector>
  </TitlesOfParts>
  <Company>Universidad de Chile</Company>
  <LinksUpToDate>false</LinksUpToDate>
  <CharactersWithSpaces>15920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N° 928/2006/VAEGI</dc:title>
  <dc:creator>Plataforma</dc:creator>
  <cp:lastModifiedBy>Viviana Fernandez</cp:lastModifiedBy>
  <cp:revision>2</cp:revision>
  <cp:lastPrinted>2015-08-12T13:13:00Z</cp:lastPrinted>
  <dcterms:created xsi:type="dcterms:W3CDTF">2015-08-17T12:55:00Z</dcterms:created>
  <dcterms:modified xsi:type="dcterms:W3CDTF">2015-08-17T12:55:00Z</dcterms:modified>
</cp:coreProperties>
</file>