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a"/>
        <w:tblW w:w="90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20"/>
        <w:gridCol w:w="2317"/>
        <w:gridCol w:w="2317"/>
      </w:tblGrid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PROGRAMA DE ASIGNATURA</w:t>
            </w:r>
          </w:p>
        </w:tc>
      </w:tr>
      <w:tr>
        <w:trPr/>
        <w:tc>
          <w:tcPr>
            <w:tcW w:w="90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ind w:left="284" w:hanging="36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Nombre de la Actividad Curricular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Teoría social</w:t>
            </w:r>
          </w:p>
        </w:tc>
      </w:tr>
      <w:tr>
        <w:trPr/>
        <w:tc>
          <w:tcPr>
            <w:tcW w:w="90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ind w:left="284" w:hanging="36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Nombre de la Actividad Curricular en Inglés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120" w:after="120"/>
              <w:jc w:val="both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Social theory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ind w:left="284" w:hanging="36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color w:val="535353"/>
                <w:sz w:val="24"/>
                <w:szCs w:val="24"/>
                <w:lang w:val="en-US"/>
              </w:rPr>
              <w:t>Nombre Completo del Docente(s) Responsable(s)</w:t>
            </w:r>
          </w:p>
          <w:p>
            <w:pPr>
              <w:pStyle w:val="Normal"/>
              <w:widowControl w:val="false"/>
              <w:spacing w:before="0" w:after="200"/>
              <w:ind w:left="284" w:hanging="0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Dr. Felipe Javier Raglianti Herzog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color w:val="535353"/>
                <w:sz w:val="24"/>
                <w:szCs w:val="24"/>
                <w:lang w:val="en-US"/>
              </w:rPr>
              <w:t>Unidad Académica / organismo de la unidad académica que lo desarrolla</w:t>
            </w:r>
          </w:p>
          <w:p>
            <w:pPr>
              <w:pStyle w:val="Normal"/>
              <w:widowControl w:val="false"/>
              <w:spacing w:lineRule="auto" w:line="240" w:before="120" w:after="120"/>
              <w:ind w:left="720" w:hanging="0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Departamento de Antropología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color w:val="535353"/>
                <w:sz w:val="24"/>
                <w:szCs w:val="24"/>
                <w:lang w:val="en-US"/>
              </w:rPr>
              <w:t>Semestre/Año Académico en que se dicta</w:t>
            </w:r>
          </w:p>
          <w:p>
            <w:pPr>
              <w:pStyle w:val="Normal"/>
              <w:widowControl w:val="false"/>
              <w:spacing w:before="0" w:after="200"/>
              <w:ind w:left="720" w:hanging="0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Segundo Semestre, 2023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color w:val="535353"/>
                <w:sz w:val="24"/>
                <w:szCs w:val="24"/>
                <w:lang w:val="en-US"/>
              </w:rPr>
              <w:t xml:space="preserve">Ámbito </w:t>
            </w:r>
          </w:p>
          <w:p>
            <w:pPr>
              <w:pStyle w:val="Normal"/>
              <w:widowControl w:val="false"/>
              <w:spacing w:lineRule="auto" w:line="240" w:before="120" w:after="120"/>
              <w:ind w:left="720" w:hanging="0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Formación teórico-metodológica</w:t>
            </w:r>
          </w:p>
        </w:tc>
      </w:tr>
      <w:tr>
        <w:trPr/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color w:val="535353"/>
                <w:sz w:val="24"/>
                <w:szCs w:val="24"/>
                <w:lang w:val="en-US"/>
              </w:rPr>
              <w:t xml:space="preserve">7. Horas de trabajo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bCs/>
                <w:color w:val="535353"/>
                <w:sz w:val="24"/>
                <w:szCs w:val="24"/>
                <w:lang w:val="en-US"/>
              </w:rPr>
              <w:t xml:space="preserve">Horas semanales de trabajo presencial 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3 horas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bCs/>
                <w:color w:val="535353"/>
                <w:sz w:val="24"/>
                <w:szCs w:val="24"/>
                <w:lang w:val="en-US"/>
              </w:rPr>
              <w:t>Horas semanales de trabajo no presencial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4.5 horas</w:t>
            </w:r>
          </w:p>
        </w:tc>
      </w:tr>
      <w:tr>
        <w:trPr/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Tipo de créditos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lang w:val="en-US"/>
              </w:rPr>
              <w:t>SCT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sz w:val="16"/>
                <w:szCs w:val="16"/>
                <w:highlight w:val="whit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highlight w:val="white"/>
              </w:rPr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80808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80808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787" w:hRule="atLeast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Número de Créditos SCT – Chile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sz w:val="24"/>
                <w:szCs w:val="24"/>
              </w:rPr>
              <w:t>5 créditos</w:t>
            </w:r>
          </w:p>
        </w:tc>
      </w:tr>
      <w:tr>
        <w:trPr/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Requisitos</w:t>
            </w: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No tiene</w:t>
            </w:r>
          </w:p>
        </w:tc>
      </w:tr>
      <w:tr>
        <w:trPr/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La asignatura de Teoría Social realiza una introducción a los autores clásicos de las ciencias sociales (Durkheim, Marx, Weber). Estos autores serán abordados a partir de lecturas seleccionadas, analizando sus fundamentos epistemológicos, sus contextos históricos e intelectuales y sus proyecciones en las distintas corrientes de la antropología contemporánea, así como teorías sociales latinoamerican</w:t>
            </w: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 w:eastAsia="zh-CN" w:bidi="ar-SA"/>
              </w:rPr>
              <w:t xml:space="preserve">as. </w:t>
            </w:r>
          </w:p>
        </w:tc>
      </w:tr>
      <w:tr>
        <w:trPr/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Competencias </w:t>
            </w: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 w:eastAsia="zh-CN" w:bidi="ar-SA"/>
              </w:rPr>
              <w:t>Problematizar los diversos desarrollos históricos de la disciplina y de los marcos teóricos-metodológicos desde los que se ejerce el quehacer profesional.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 w:eastAsia="zh-CN" w:bidi="ar-SA"/>
              </w:rPr>
              <w:t>Valorar críticamente la diversidad cultural y comprender los procesos culturales como fenómenos dinámicos.</w:t>
            </w:r>
          </w:p>
        </w:tc>
      </w:tr>
      <w:tr>
        <w:trPr/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Subcompetencias</w:t>
            </w: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es-CL" w:eastAsia="zh-CN" w:bidi="ar-SA"/>
              </w:rPr>
              <w:t>Comprender los desarrollos históricos de la antropología, desde antes de su consolidación como Ciencia Social, hasta las propuestas actuales.</w:t>
            </w:r>
          </w:p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es-CL" w:eastAsia="zh-CN" w:bidi="ar-SA"/>
              </w:rPr>
              <w:t>Comprender los procesos socioculturales como fenómenos dinámicos que permean a los individuos y las instituciones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.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Resultados de Aprendizaje</w:t>
            </w:r>
          </w:p>
          <w:p>
            <w:pPr>
              <w:pStyle w:val="Normal"/>
              <w:widowControl w:val="false"/>
              <w:spacing w:before="0" w:after="200"/>
              <w:rPr>
                <w:color w:val="auto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highlight w:val="white"/>
                <w:lang w:val="es-CL" w:eastAsia="zh-CN" w:bidi="ar-SA"/>
              </w:rPr>
              <w:t>Distinguir el contexto, estructura teórica y fundamentos epistemológicos de la obra de Émile Durkheim, Karl Marx y Max Weber a partir del análisis de t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extos seleccionados, y reconocer su presencia en las corrientes </w:t>
            </w:r>
            <w:r>
              <w:rPr>
                <w:rFonts w:eastAsia="Calibri" w:cs="Calibri" w:ascii="Calibri" w:hAnsi="Calibri"/>
                <w:color w:val="auto"/>
                <w:sz w:val="24"/>
                <w:szCs w:val="24"/>
                <w:highlight w:val="white"/>
                <w:lang w:val="es-CL" w:eastAsia="zh-CN" w:bidi="ar-SA"/>
              </w:rPr>
              <w:t>antropológicas y en el pensamiento social latinoamericano.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15. Saberes / Contenidos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Unidad 1. </w:t>
            </w: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highlight w:val="white"/>
                <w:u w:val="none"/>
                <w:lang w:val="es-CL" w:eastAsia="zh-CN" w:bidi="ar-SA"/>
              </w:rPr>
              <w:t>Comienzos de la teoría social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Esta unidad explica la situación de la Sociología a finales del XVIII, durante el siglo XIX y a inicios del siglo XX.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1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Contexto histórico e intelectual de las teorías de la sociedad moderna. Contenido: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El nacimiento de la Sociología en el mundo occidental. Comte y Spencer: evolución y sociedad. Tönnies: comunidad y sociedad.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highlight w:val="white"/>
                <w:lang w:val="es-CL" w:eastAsia="zh-CN" w:bidi="ar-SA"/>
              </w:rPr>
              <w:t>Unidad 2.</w:t>
            </w: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highlight w:val="white"/>
                <w:u w:val="none"/>
                <w:lang w:val="es-CL" w:eastAsia="zh-CN" w:bidi="ar-SA"/>
              </w:rPr>
              <w:t xml:space="preserve"> Emile Durkheim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Esta unidad introduce el pensamiento de Émile Durkheim y su noción de hecho social, método sociológico, tipos de solidaridad, coerción, conciencia colectiva, anomia y suicidio.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color w:val="808080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2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. Antecedentes y contexto. 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Contenido: introducción a la Sociología de Durkheim.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3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Estructura general de la teoría del autor. Contenido: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 los hechos sociales y las reglas del método sociológico. Solidaridad mecánica y orgánica. La división social, sexual, racial, etc. del trabajo. 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4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Conceptos y temas fundamental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es. Contenido: conciencia colectiva y coerción: anomia y suicidio. Goffman: presentación del yo e instituciones totales.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 w:after="200"/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5.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 Proyecciones h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acia la antropología y aspectos críticos. Contenido: Parsons: funcionalismo y el modelo AGIL. Urry: sociología después de la sociedad.  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  <w:br/>
            </w: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Unidad 3. </w:t>
            </w: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highlight w:val="white"/>
                <w:u w:val="none"/>
                <w:lang w:val="es-CL" w:eastAsia="zh-CN" w:bidi="ar-SA"/>
              </w:rPr>
              <w:t>Karl Marx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Esta unidad introduce el pensamiento de Karl Marx y su idea de alienación, capital, lucha de clases, mercancía, fetiche y materialismo histórico como método.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6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Ante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cedentes y contexto. Contenido: introducción a la Sociogía de Karl Marx. 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7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Estructura general de la teoría del autor. Conteni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do: alienación del trabajo, explotación del trabajador. Capitalismo y lucha de clases: mercancia y fetiche. 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8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Conceptos y temas fundamenta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les. Contenido: el materialismo histórico como método sociológico. Feminismo marxista. Haraway: el manifiesto cyborg. 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9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Proyecciones hacia la antropología y aspectos críticos. Conten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ido:  Harvey: acumulación por desposesión. Byung-Chul: la sociedad del cansancio.  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</w: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olor w:val="auto"/>
                <w:sz w:val="24"/>
                <w:szCs w:val="24"/>
                <w:highlight w:val="white"/>
                <w:u w:val="none"/>
                <w:lang w:val="es-CL" w:eastAsia="zh-CN" w:bidi="ar-SA"/>
              </w:rPr>
              <w:t>Unidad 4. Max Weber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Esta unidad introduce el pensamiento de Max Weber y su comprensión o verstehen del individuo, la racionalidad moderna y su jaula de hierro, los tipos ideales, la ética protestante y el espíritu del capitalismo.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10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Antecedentes y contexto. Contenido: introduccción a la Sociología de Max Weber.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11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. Estructura general de la teoría del autor. Contenido: la comprensión del sentido de la acción. Racionalidad moderna: tipos ideales y autoridades. 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12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Conceptos y temas fundamentales. Contenido: la ética protestante y el espíritu del capitalismo. La escuela de Chicago: el interaccionismo simbólico.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13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. Proyecciones hacia la antropología y aspectos críticos. Contenidos: Berger y Luckmann: hermenéutica y la construcción social de la realidad. Garfinkel (contra Parsons): etnometodología y teoría de la acción. </w:t>
              <w:br/>
              <w:br/>
            </w: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olor w:val="auto"/>
                <w:sz w:val="24"/>
                <w:szCs w:val="24"/>
                <w:highlight w:val="white"/>
                <w:u w:val="none"/>
                <w:lang w:val="es-CL" w:eastAsia="zh-CN" w:bidi="ar-SA"/>
              </w:rPr>
              <w:t>Unidad 5. Seminario Latinoamérica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 w:after="200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Esta unidad introduce tres variantes o formas de pensar Latinoamérica: la teoría del desarrollo, el debate sobre su modernización, la descolonización del pensamiento y los feminismos latinoamericanos. 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 w:after="20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14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Contexto histórico e intelectual de las teorías sobre América Latina. Contenido: Germani: modernización. Mignolo: descolonización. Feminismos latinoamericanos.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Metodología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La asignatura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se articula con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tres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métodos docentes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: clases exposivitas, talleres colectivos y ensayos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de sociología aplicada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. Las unidades centrales sobre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las sociologías de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Durkheim, Marx y Weber tienen una estructura similar.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E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n la primera semana de cada unidad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habrá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un control de lectura y un taller de discusión en torno a la introducción general de estos autores. Luego revisaremos la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s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materia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s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de cada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unidad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y final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mente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la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s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contrastaremo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s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con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autores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contemporáneos. Se evaluarán l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o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s contenidos al concluir las unidades 2,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y 4. Las clases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involucran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explicaciones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y aplicaciones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de las ideas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principales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L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os talleres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son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hechos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por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los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ayudantes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para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ref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orzar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contenidos y alcances de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la lectura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El curso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producirá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un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abanico de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 consensos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y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disensos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en torno a las reflexiones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de/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sobre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la sociología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 xml:space="preserve">La finalidad es 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>generar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 xml:space="preserve"> capacidades para 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>la comprensión de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 xml:space="preserve"> 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>la sociedad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 xml:space="preserve">, los métodos 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 xml:space="preserve">científicos 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 xml:space="preserve">de 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 xml:space="preserve">investigación 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 xml:space="preserve">social y los diagnósticos de la 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>modernidad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>.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Evaluación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 xml:space="preserve">Prueba Unidad I y II </w:t>
              <w:tab/>
              <w:t>30%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 xml:space="preserve">Prueba Unidad III y IV </w:t>
              <w:tab/>
              <w:t>30%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Arial"/>
                <w:sz w:val="24"/>
                <w:szCs w:val="24"/>
              </w:rPr>
            </w:pPr>
            <w:r>
              <w:rPr>
                <w:rFonts w:eastAsia="Calibri" w:cs="Arial" w:ascii="Calibri" w:hAnsi="Calibri"/>
                <w:sz w:val="24"/>
                <w:szCs w:val="24"/>
              </w:rPr>
              <w:t xml:space="preserve">Talleres </w:t>
              <w:tab/>
              <w:tab/>
              <w:t xml:space="preserve">          40%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Requisitos de aprobación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 xml:space="preserve">Nota de aprobación mínima </w:t>
              <w:tab/>
              <w:t xml:space="preserve">4.0 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 xml:space="preserve">Asistencia mínima </w:t>
              <w:tab/>
              <w:tab/>
              <w:tab/>
              <w:t>75%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Arial"/>
                <w:sz w:val="24"/>
                <w:szCs w:val="24"/>
              </w:rPr>
            </w:pPr>
            <w:r>
              <w:rPr>
                <w:rFonts w:eastAsia="Calibri" w:cs="Arial" w:ascii="Calibri" w:hAnsi="Calibri"/>
                <w:sz w:val="24"/>
                <w:szCs w:val="24"/>
              </w:rPr>
              <w:t>Nota presentación a examen</w:t>
              <w:tab/>
              <w:t>5.5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Palabras Clave</w:t>
            </w:r>
          </w:p>
          <w:p>
            <w:pPr>
              <w:pStyle w:val="Normal1"/>
              <w:widowControl w:val="false"/>
              <w:bidi w:val="0"/>
              <w:spacing w:before="0" w:after="20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</w:rPr>
              <w:t>teoría social, sociología, Durkheim, Marx, Weber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Bibliografía Obligatoria (no más de 5 textos)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Durkheim, E. 1987. Las reglas del método sociológico.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Introducción, Capítulos 1, 2, 3.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Buenos Aires: Pléyade. ISBN: 950516132x 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Marx, K. 2014. El Capital.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 1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. México: Fondo de Cultura Económica. ISBN: 9786071616524 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Weber, M. 1992. Economía y sociedad.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Primera Parte, páginas 5-45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. México: Fondo de Cultura Económica. ISBN: 9505571259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Bibliografía Complementaria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Berger, P. y Luckmann, T. 2001. La construcción social de la realidad.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Introducción, Capítulo 1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. Buenos Aires: Editorial Amorrortu. ISBN: 9505180098.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Byung-Chul, H. 2012. La sociedad del cansancio.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Capítulos 1, 2.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Barcelona: Editorial Herder. ISBN: 9788425428685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Durkheim, E. 2012. El suicidio.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 Primero, páginas 1-19.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Madrid: Akal. ISBN: 9788446035022.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Durkheim, E. 2012. Las formas elementales de la vida religiosa.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Libro Primero, Capitulos I, II, III, IV.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México: FCE. ISBN: 9786071611680.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Durkheim, E. 2004. La división del trabajo social.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Páginas 1-11.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Buenos Aires: Libertador. ISBN: 9871150164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Garfinkel, H. 2006. Estudios en etnometodología.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Páginas 9-46.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Bogotá: Editorial Anthropos. ISBN: 8476587856.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Garreton, M.A. 2015. Las ciencias sociales en la trama de Chile y América Latina.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Introducción.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Santiago: Editorial LOM. ISBN: 9789560005724.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Giddens, A. 2000. Sociología.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 xml:space="preserve">Páginas 29-51. 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Alianza Editorial. ISBN: 8420681768.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Goffman, E. 1997. La presentación de la persona en la vida cotidiana.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 1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. Buenos Aires: Editorial Amorrortu. ISBN: 9505180292.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bookmarkStart w:id="0" w:name="__DdeLink__261_1561633194"/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Goffman, E. 2001. Internados.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 xml:space="preserve">Páginas 15-131. 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Buenos Aires: Editorial Amorrortu. </w:t>
            </w:r>
            <w:bookmarkEnd w:id="0"/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ISBN: 9505180284.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Haraway, D. 1991. Ciencia, cyborgs y mujeres.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 6.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Madrid: Ediciones Cátedra. ISBN: 378950402.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Harvey, D. 2004. El nuevo imperialismo: acumulación por desposesión.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Páginas 99-129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. Trad. Ruth Felder. </w:t>
            </w:r>
            <w:r>
              <w:rPr>
                <w:rFonts w:eastAsia="Calibri" w:cs="Calibri" w:ascii="Calibri" w:hAnsi="Calibri"/>
                <w:i/>
                <w:iCs/>
                <w:color w:val="00000A"/>
                <w:sz w:val="24"/>
                <w:szCs w:val="24"/>
                <w:lang w:val="es-CL" w:eastAsia="zh-CN" w:bidi="ar-SA"/>
              </w:rPr>
              <w:t>Social Register.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Marx, K. 2010. Manuscritos Economía y Filosofía.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Primer Manuscrito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. Editorial Alianza. ISBN: 8420611190.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Marx, K. 2012. Manifiesto comunista.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Completo.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Santiago: LOM. ISBN: 9789560003744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Marx, K. 2008. Contribución a la crítica de la economía política.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Libro primero, sección primera, capítulo primero.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México: Siglo XXI. ISBN: 9789682309939.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Mills, W. 1986. La imaginación sociológica.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Páginas 23-43.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La promesa. México: Fondo de Cultura Económica. ISBN: 9681602714.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Parsons, T. 1984. </w:t>
            </w:r>
            <w:r>
              <w:rPr>
                <w:rFonts w:eastAsia="Calibri" w:cs="Calibri" w:ascii="Calibri" w:hAnsi="Calibri"/>
                <w:i w:val="false"/>
                <w:iCs w:val="false"/>
                <w:color w:val="00000A"/>
                <w:sz w:val="24"/>
                <w:szCs w:val="24"/>
                <w:lang w:val="es-CL" w:eastAsia="zh-CN" w:bidi="ar-SA"/>
              </w:rPr>
              <w:t>El sistema social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Capítulos 1, 2.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Madrid: Editorial Alianza. ISBN: 9788420623269.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Tönnies, F. 2009. Principios de Sociología.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Libro primero.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México: Fondo de Cultura Económica. ISBN: 9788498365610.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Urry, J. 2000. Sociology beyond Society.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 1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. Londres: Routledge. ISBN: 0415190886.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Weber, M. 2012. Ensayos sobre metodología sociológica.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Páginas 39-101.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Buenos Aires: Amorrortu. ISBN: 9789505182343.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Weber, M. 1998. La ética protestante y el espíritu del capitalismo.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Capítulos I, II.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Madrid: Istmo. ISBN: 8470903144.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22.Recursos Web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Cinta de Moebio. Revista de Epistemología de Ciencias Sociales http://www.cintademoebio.uchile.cl</w:t>
            </w:r>
          </w:p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CLACSO. Red de Bibliotecas Virtuales en ciencias Sociales en América latina y El Caribe: </w:t>
            </w:r>
            <w:r>
              <w:rPr>
                <w:rStyle w:val="InternetLink"/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http://www.biblioteca.clacso.edu.ar</w:t>
            </w:r>
          </w:p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Materiales en Google Drive I </w:t>
            </w:r>
            <w:hyperlink r:id="rId2">
              <w:r>
                <w:rPr>
                  <w:rStyle w:val="InternetLink"/>
                  <w:rFonts w:eastAsia="Calibri" w:cs="Calibri" w:ascii="Calibri" w:hAnsi="Calibri"/>
                  <w:color w:val="00000A"/>
                  <w:sz w:val="24"/>
                  <w:szCs w:val="24"/>
                  <w:lang w:val="es-CL" w:eastAsia="zh-CN" w:bidi="ar-SA"/>
                </w:rPr>
                <w:t>https://drive.google.com/drive/folders/1Iu-ezqiAT5BlHOA1hvzS83WMLh44af7N?usp=sharing</w:t>
              </w:r>
            </w:hyperlink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Materiales en Google Drive II (SOCIÓLOGAS) </w:t>
            </w:r>
            <w:hyperlink r:id="rId3">
              <w:r>
                <w:rPr>
                  <w:rStyle w:val="InternetLink"/>
                  <w:rFonts w:eastAsia="Calibri" w:cs="Calibri" w:ascii="Calibri" w:hAnsi="Calibri"/>
                  <w:color w:val="00000A"/>
                  <w:sz w:val="24"/>
                  <w:szCs w:val="24"/>
                  <w:lang w:val="es-CL" w:eastAsia="zh-CN" w:bidi="ar-SA"/>
                </w:rPr>
                <w:t>https://drive.google.com/drive/folders/1ZXKZ-wNswkPww577W7g2wMkNq-o_YxMe?usp=sharing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modern"/>
    <w:pitch w:val="fixed"/>
  </w:font>
  <w:font w:name="Liberation Sans">
    <w:altName w:val="Arial"/>
    <w:charset w:val="01"/>
    <w:family w:val="modern"/>
    <w:pitch w:val="fixed"/>
  </w:font>
  <w:font w:name="Liberation Mono">
    <w:altName w:val="Courier New"/>
    <w:charset w:val="01"/>
    <w:family w:val="modern"/>
    <w:pitch w:val="fixed"/>
  </w:font>
  <w:font w:name="Calibri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-142875</wp:posOffset>
          </wp:positionH>
          <wp:positionV relativeFrom="paragraph">
            <wp:posOffset>-455295</wp:posOffset>
          </wp:positionV>
          <wp:extent cx="3388995" cy="1267460"/>
          <wp:effectExtent l="0" t="0" r="0" b="0"/>
          <wp:wrapNone/>
          <wp:docPr id="1" name="1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88995" cy="1267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  <w:sz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es-C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s-CL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30b95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30b95"/>
    <w:rPr/>
  </w:style>
  <w:style w:type="character" w:styleId="InternetLink">
    <w:name w:val="Hyperlink"/>
    <w:rPr>
      <w:color w:val="0563C1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4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Liberation Mono" w:hAnsi="Liberation Mono" w:cs="Droid Sans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Mono" w:hAnsi="Liberation Mono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Mono" w:hAnsi="Liberation Mono" w:cs="Droid Sans Devanagari"/>
      <w:sz w:val="24"/>
      <w:lang w:val="zxx" w:eastAsia="zxx" w:bidi="zxx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30b95"/>
    <w:pPr>
      <w:tabs>
        <w:tab w:val="clear" w:pos="720"/>
        <w:tab w:val="center" w:pos="4419" w:leader="none"/>
        <w:tab w:val="right" w:pos="8838" w:leader="none"/>
      </w:tabs>
      <w:spacing w:lineRule="auto" w:line="240"/>
    </w:pPr>
    <w:rPr/>
  </w:style>
  <w:style w:type="paragraph" w:styleId="Footer">
    <w:name w:val="Footer"/>
    <w:basedOn w:val="Normal"/>
    <w:link w:val="PiedepginaCar"/>
    <w:uiPriority w:val="99"/>
    <w:unhideWhenUsed/>
    <w:rsid w:val="00830b95"/>
    <w:pPr>
      <w:tabs>
        <w:tab w:val="clear" w:pos="720"/>
        <w:tab w:val="center" w:pos="4419" w:leader="none"/>
        <w:tab w:val="right" w:pos="8838" w:leader="none"/>
      </w:tabs>
      <w:spacing w:lineRule="auto" w:line="240"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es-CL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.google.com/drive/folders/1Iu-ezqiAT5BlHOA1hvzS83WMLh44af7N?usp=sharing" TargetMode="External"/><Relationship Id="rId3" Type="http://schemas.openxmlformats.org/officeDocument/2006/relationships/hyperlink" Target="https://drive.google.com/drive/folders/1ZXKZ-wNswkPww577W7g2wMkNq-o_YxMe?usp=sharing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LibreOffice/7.2.7.2$Linux_X86_64 LibreOffice_project/20$Build-2</Application>
  <AppVersion>15.0000</AppVersion>
  <Pages>8</Pages>
  <Words>1349</Words>
  <Characters>8371</Characters>
  <CharactersWithSpaces>9675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2022-11-17T14:58:00Z</dcterms:created>
  <dc:creator>Usuario</dc:creator>
  <dc:description/>
  <dc:language>en-US</dc:language>
  <cp:lastModifiedBy/>
  <dcterms:modified xsi:type="dcterms:W3CDTF">2023-08-07T11:46:37Z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