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CBA09" w14:textId="14DF8339" w:rsidR="00194F17" w:rsidRDefault="006012A2" w:rsidP="006012A2">
      <w:pPr>
        <w:pStyle w:val="Ttulo"/>
        <w:rPr>
          <w:lang w:val="es-ES"/>
        </w:rPr>
      </w:pPr>
      <w:r>
        <w:rPr>
          <w:lang w:val="es-ES"/>
        </w:rPr>
        <w:t>REDES SOCIOCÉNTRICAS</w:t>
      </w:r>
    </w:p>
    <w:p w14:paraId="5DB9E165" w14:textId="5F2AA325" w:rsidR="00B620A5" w:rsidRDefault="00B620A5" w:rsidP="00B620A5">
      <w:pPr>
        <w:rPr>
          <w:lang w:val="es-ES"/>
        </w:rPr>
      </w:pPr>
      <w:r>
        <w:rPr>
          <w:lang w:val="es-ES"/>
        </w:rPr>
        <w:t>VÍCTOR MARTÍNEZ</w:t>
      </w:r>
    </w:p>
    <w:p w14:paraId="01C1B6E2" w14:textId="68CBBF90" w:rsidR="00B620A5" w:rsidRPr="00B620A5" w:rsidRDefault="00B620A5" w:rsidP="00B620A5">
      <w:pPr>
        <w:rPr>
          <w:lang w:val="es-ES"/>
        </w:rPr>
      </w:pPr>
      <w:r>
        <w:rPr>
          <w:lang w:val="es-ES"/>
        </w:rPr>
        <w:t>GUÍA PEDAGÓGICA</w:t>
      </w:r>
    </w:p>
    <w:p w14:paraId="5179B883" w14:textId="2C06050C" w:rsidR="006D3C74" w:rsidRDefault="006D3C74" w:rsidP="00AB43A0">
      <w:pPr>
        <w:pStyle w:val="Ttulo1"/>
      </w:pPr>
      <w:r w:rsidRPr="00DB5C91">
        <w:t>¿Qué es</w:t>
      </w:r>
      <w:r w:rsidR="009455A6">
        <w:t xml:space="preserve"> una Red Social</w:t>
      </w:r>
      <w:r w:rsidRPr="00DB5C91">
        <w:t>?</w:t>
      </w:r>
      <w:r w:rsidR="00202089" w:rsidRPr="00202089">
        <w:rPr>
          <w:smallCaps w:val="0"/>
          <w:noProof/>
          <w:spacing w:val="0"/>
          <w:sz w:val="20"/>
          <w:szCs w:val="20"/>
        </w:rPr>
        <w:t xml:space="preserve"> </w:t>
      </w:r>
    </w:p>
    <w:p w14:paraId="6A1B4FC8" w14:textId="1F4B7384" w:rsidR="00860809" w:rsidRDefault="00860809" w:rsidP="009455A6">
      <w:pPr>
        <w:pStyle w:val="Listaconnmeros"/>
      </w:pPr>
      <w:r>
        <w:t>Una</w:t>
      </w:r>
      <w:r w:rsidRPr="00FE03FC">
        <w:t xml:space="preserve"> red social es un sistema de vínculos entre nodos orientados fundamentalmente hacia los intercambios recíprocos y colaborativos.</w:t>
      </w:r>
      <w:r>
        <w:t xml:space="preserve"> Los nodos pueden ser personas, grupos, organizaciones, servicios, </w:t>
      </w:r>
      <w:r w:rsidR="009E2977">
        <w:t>instituciones.</w:t>
      </w:r>
    </w:p>
    <w:p w14:paraId="411C4E19" w14:textId="6471B383" w:rsidR="00860809" w:rsidRDefault="00860809" w:rsidP="009455A6">
      <w:pPr>
        <w:pStyle w:val="Listaconnmeros"/>
      </w:pPr>
      <w:r>
        <w:t xml:space="preserve">Lo central en la red es el conjunto de vínculos entre los nodos. La red, entonces, no es un conjunto de nodos, sino más bien un </w:t>
      </w:r>
      <w:r w:rsidR="000D3758">
        <w:t>sistema de v</w:t>
      </w:r>
      <w:r w:rsidRPr="00677E45">
        <w:t>ínculos</w:t>
      </w:r>
      <w:r>
        <w:t xml:space="preserve">. </w:t>
      </w:r>
    </w:p>
    <w:p w14:paraId="178C7C93" w14:textId="79008BDE" w:rsidR="009455A6" w:rsidRDefault="00202089" w:rsidP="009455A6">
      <w:pPr>
        <w:pStyle w:val="Listaconnmeros"/>
      </w:pPr>
      <w:r w:rsidRPr="00202089">
        <w:rPr>
          <w:noProof/>
        </w:rPr>
        <w:drawing>
          <wp:anchor distT="0" distB="0" distL="114300" distR="114300" simplePos="0" relativeHeight="251658240" behindDoc="1" locked="0" layoutInCell="1" allowOverlap="1" wp14:anchorId="376D2B5E" wp14:editId="26EAAFA6">
            <wp:simplePos x="0" y="0"/>
            <wp:positionH relativeFrom="column">
              <wp:posOffset>-91440</wp:posOffset>
            </wp:positionH>
            <wp:positionV relativeFrom="paragraph">
              <wp:posOffset>199006</wp:posOffset>
            </wp:positionV>
            <wp:extent cx="2946400" cy="1656715"/>
            <wp:effectExtent l="0" t="0" r="0" b="0"/>
            <wp:wrapTight wrapText="bothSides">
              <wp:wrapPolygon edited="0">
                <wp:start x="0" y="0"/>
                <wp:lineTo x="0" y="21360"/>
                <wp:lineTo x="21507" y="21360"/>
                <wp:lineTo x="2150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400" cy="1656715"/>
                    </a:xfrm>
                    <a:prstGeom prst="rect">
                      <a:avLst/>
                    </a:prstGeom>
                  </pic:spPr>
                </pic:pic>
              </a:graphicData>
            </a:graphic>
            <wp14:sizeRelH relativeFrom="page">
              <wp14:pctWidth>0</wp14:pctWidth>
            </wp14:sizeRelH>
            <wp14:sizeRelV relativeFrom="page">
              <wp14:pctHeight>0</wp14:pctHeight>
            </wp14:sizeRelV>
          </wp:anchor>
        </w:drawing>
      </w:r>
      <w:r w:rsidR="0040207E">
        <w:t>En la relación entre nodos se produce un intercambio colaborativo. Este intercambio recíproco puede darse en el plano material, financiero, afectivo/emocional, informacional, social,</w:t>
      </w:r>
      <w:r w:rsidR="0040207E" w:rsidRPr="0040207E">
        <w:t xml:space="preserve"> </w:t>
      </w:r>
      <w:r w:rsidR="0040207E">
        <w:t xml:space="preserve">simbólico; de los conocimientos, competencias y capacidades, etc. </w:t>
      </w:r>
    </w:p>
    <w:p w14:paraId="44967938" w14:textId="0393D9EA" w:rsidR="0040207E" w:rsidRDefault="0040207E" w:rsidP="009455A6">
      <w:pPr>
        <w:pStyle w:val="Listaconnmeros"/>
      </w:pPr>
      <w:r>
        <w:t>Las redes son estructuras a través de las cuales fluyen los recursos; dicho de otro modo, es la forma que en lo social adoptan los intercambios entre las personas, grupos y organizaciones.</w:t>
      </w:r>
    </w:p>
    <w:p w14:paraId="1FE24F69" w14:textId="2ED6A2A9" w:rsidR="00F13B64" w:rsidRPr="00292608" w:rsidRDefault="00B25D67" w:rsidP="00464580">
      <w:pPr>
        <w:pStyle w:val="Listaconnmeros"/>
      </w:pPr>
      <w:r>
        <w:t xml:space="preserve">En la red social de una persona </w:t>
      </w:r>
      <w:r w:rsidR="00D145DC">
        <w:t xml:space="preserve">convergen una gran diversidad de actores que -situados en </w:t>
      </w:r>
      <w:r>
        <w:t xml:space="preserve">distintos niveles de proximidad </w:t>
      </w:r>
      <w:r w:rsidR="00D145DC">
        <w:t xml:space="preserve">(relacional, afectiva e instrumental)- configuran el mundo sociocomunitario </w:t>
      </w:r>
      <w:r w:rsidR="007B5EB4">
        <w:t>en el que está incluida.</w:t>
      </w:r>
    </w:p>
    <w:p w14:paraId="391ADF7B" w14:textId="5D0774CF" w:rsidR="009455A6" w:rsidRDefault="00165DDF" w:rsidP="00A176F7">
      <w:pPr>
        <w:pStyle w:val="Listaconnmeros"/>
      </w:pPr>
      <w:r>
        <w:t xml:space="preserve">Como se señala en el esquema nº 1, el nivel de mayor proximidad está dado por su red social </w:t>
      </w:r>
      <w:r w:rsidR="007E07DC">
        <w:t>personal</w:t>
      </w:r>
      <w:r>
        <w:t xml:space="preserve"> constituida por su f</w:t>
      </w:r>
      <w:r w:rsidRPr="00165DDF">
        <w:t xml:space="preserve">amilia nuclear más amigos muy íntimos. </w:t>
      </w:r>
      <w:r>
        <w:t>Esta red representa el s</w:t>
      </w:r>
      <w:r w:rsidRPr="00165DDF">
        <w:t xml:space="preserve">istema </w:t>
      </w:r>
      <w:r>
        <w:t xml:space="preserve">de apoyo más cercano y directo, proporcionando recursos </w:t>
      </w:r>
      <w:r w:rsidR="00F61D53">
        <w:t xml:space="preserve">básicos para su inclusión comunitaria y </w:t>
      </w:r>
      <w:r w:rsidR="00412AA4">
        <w:t xml:space="preserve">la generación de </w:t>
      </w:r>
      <w:r w:rsidR="00F61D53">
        <w:t xml:space="preserve">sentido psicológico de </w:t>
      </w:r>
      <w:r w:rsidRPr="00165DDF">
        <w:t>pertenencia</w:t>
      </w:r>
      <w:r w:rsidR="00F61D53">
        <w:t>.</w:t>
      </w:r>
    </w:p>
    <w:p w14:paraId="768D1A6F" w14:textId="34B86141" w:rsidR="009455A6" w:rsidRDefault="00A176F7" w:rsidP="00C72B67">
      <w:pPr>
        <w:pStyle w:val="Listaconnmeros"/>
      </w:pPr>
      <w:r>
        <w:t>En el segundo nivel de proximidad se sitúa la red local comunitaria, que v</w:t>
      </w:r>
      <w:r w:rsidRPr="00A176F7">
        <w:t xml:space="preserve">incula </w:t>
      </w:r>
      <w:r>
        <w:t xml:space="preserve">a la </w:t>
      </w:r>
      <w:r w:rsidRPr="00A176F7">
        <w:t>p</w:t>
      </w:r>
      <w:r>
        <w:t xml:space="preserve">ersona con actores </w:t>
      </w:r>
      <w:r w:rsidRPr="00A176F7">
        <w:t xml:space="preserve">e instancias significativas en </w:t>
      </w:r>
      <w:r>
        <w:t xml:space="preserve">el </w:t>
      </w:r>
      <w:r w:rsidRPr="00A176F7">
        <w:t xml:space="preserve">territorio comunitario. </w:t>
      </w:r>
      <w:r w:rsidR="00AF3015">
        <w:t>Esta red es muy relevante para la i</w:t>
      </w:r>
      <w:r w:rsidR="00AF3015" w:rsidRPr="00A176F7">
        <w:t>nclusión</w:t>
      </w:r>
      <w:r w:rsidR="00AF3015">
        <w:t xml:space="preserve"> comunitaria</w:t>
      </w:r>
      <w:r w:rsidR="00AF3015" w:rsidRPr="00A176F7">
        <w:t xml:space="preserve">, </w:t>
      </w:r>
      <w:r w:rsidR="00AF3015">
        <w:t xml:space="preserve">ofreciendo espacios de participación y generando sentido de </w:t>
      </w:r>
      <w:r w:rsidR="00AF3015" w:rsidRPr="00A176F7">
        <w:t>pertenencia</w:t>
      </w:r>
      <w:r w:rsidR="00AF3015">
        <w:t xml:space="preserve"> para las personas. Esta red e</w:t>
      </w:r>
      <w:r w:rsidRPr="00A176F7">
        <w:t>fectúa detección</w:t>
      </w:r>
      <w:r w:rsidR="00FE528C">
        <w:t xml:space="preserve"> de problemáticas de inclusión</w:t>
      </w:r>
      <w:r w:rsidR="00AF3015">
        <w:t xml:space="preserve"> y </w:t>
      </w:r>
      <w:r w:rsidR="00FE528C">
        <w:t xml:space="preserve">acciones de </w:t>
      </w:r>
      <w:r w:rsidR="00AF3015">
        <w:t>pre-diagnóstico, proporciona apoyo expresivo e instrumental –tanto en situaciones de crisis como de vida cotidiana- y</w:t>
      </w:r>
      <w:r w:rsidRPr="00A176F7">
        <w:t xml:space="preserve"> derivación a servicios especializados. </w:t>
      </w:r>
    </w:p>
    <w:p w14:paraId="3BAFF055" w14:textId="2077C7A5" w:rsidR="00292608" w:rsidRPr="001A0991" w:rsidRDefault="00292608" w:rsidP="00292608">
      <w:r w:rsidRPr="007E07DC">
        <w:rPr>
          <w:i/>
          <w:noProof/>
          <w:lang w:eastAsia="es-ES_tradnl"/>
        </w:rPr>
        <w:lastRenderedPageBreak/>
        <w:drawing>
          <wp:anchor distT="0" distB="0" distL="114300" distR="114300" simplePos="0" relativeHeight="251663360" behindDoc="0" locked="0" layoutInCell="1" allowOverlap="1" wp14:anchorId="69F81E3C" wp14:editId="0AB339B9">
            <wp:simplePos x="0" y="0"/>
            <wp:positionH relativeFrom="column">
              <wp:posOffset>3810</wp:posOffset>
            </wp:positionH>
            <wp:positionV relativeFrom="paragraph">
              <wp:posOffset>243752</wp:posOffset>
            </wp:positionV>
            <wp:extent cx="5612130" cy="420941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r>
        <w:t>Esquema nº 1</w:t>
      </w:r>
      <w:r w:rsidRPr="00D20DD0">
        <w:t xml:space="preserve">: </w:t>
      </w:r>
      <w:r>
        <w:t>El mundo sociocomunitario de las personas</w:t>
      </w:r>
    </w:p>
    <w:p w14:paraId="61F24023" w14:textId="39DD5718" w:rsidR="009455A6" w:rsidRDefault="00C72B67" w:rsidP="00EC1C07">
      <w:pPr>
        <w:pStyle w:val="Listaconnmeros"/>
      </w:pPr>
      <w:r>
        <w:t>En un tercer nivel, encontramos la zona de proximidad distante, representada por la red local institucional. Esta red constituye un s</w:t>
      </w:r>
      <w:r w:rsidRPr="00C72B67">
        <w:t xml:space="preserve">istema amplio y flexible de articulaciones multidimensionales entre servicios especializados, </w:t>
      </w:r>
      <w:r w:rsidR="00932D5A">
        <w:t>instituciones y organizaciones</w:t>
      </w:r>
      <w:r w:rsidRPr="00C72B67">
        <w:t xml:space="preserve">, tanto públicas como privadas. </w:t>
      </w:r>
      <w:r>
        <w:t>Representa un s</w:t>
      </w:r>
      <w:r w:rsidRPr="00C72B67">
        <w:t xml:space="preserve">istema de apoyo especializado, </w:t>
      </w:r>
      <w:r>
        <w:t xml:space="preserve">que genera </w:t>
      </w:r>
      <w:r w:rsidRPr="00C72B67">
        <w:t>inclusión social y participación</w:t>
      </w:r>
      <w:r>
        <w:t xml:space="preserve"> para las personas.</w:t>
      </w:r>
    </w:p>
    <w:p w14:paraId="373B8DDF" w14:textId="665451AC" w:rsidR="00B0397B" w:rsidRDefault="00C72B67" w:rsidP="004D29B6">
      <w:pPr>
        <w:pStyle w:val="Listaconnmeros"/>
      </w:pPr>
      <w:r w:rsidRPr="009455A6">
        <w:rPr>
          <w:lang w:val="es-ES"/>
        </w:rPr>
        <w:t>La</w:t>
      </w:r>
      <w:r w:rsidR="00EC1C07" w:rsidRPr="009455A6">
        <w:rPr>
          <w:lang w:val="es-ES"/>
        </w:rPr>
        <w:t xml:space="preserve"> metodología de casos articula operativamente, de manera gradual y estratégica –y en sus distintos niveles de proximidad (focal, comunitario e institucional) - las redes sociales que juegan un rol decisivo en la </w:t>
      </w:r>
      <w:r w:rsidR="009D70BE">
        <w:rPr>
          <w:lang w:val="es-ES"/>
        </w:rPr>
        <w:t>inclusión sociocomunitaria</w:t>
      </w:r>
      <w:r w:rsidR="00EC1C07" w:rsidRPr="009455A6">
        <w:rPr>
          <w:lang w:val="es-ES"/>
        </w:rPr>
        <w:t xml:space="preserve"> de las personas atendidas.</w:t>
      </w:r>
    </w:p>
    <w:p w14:paraId="016EFAA8" w14:textId="480D22FF" w:rsidR="005001FD" w:rsidRDefault="00FD49CC" w:rsidP="00FD49CC">
      <w:pPr>
        <w:pStyle w:val="Ttulo1"/>
      </w:pPr>
      <w:r>
        <w:t>¿Qué es una Red S</w:t>
      </w:r>
      <w:r w:rsidR="005001FD">
        <w:t>ociocéntrica</w:t>
      </w:r>
      <w:r>
        <w:t>?</w:t>
      </w:r>
    </w:p>
    <w:p w14:paraId="03ABAD51" w14:textId="77777777" w:rsidR="009455A6" w:rsidRDefault="0059200C" w:rsidP="0059200C">
      <w:pPr>
        <w:pStyle w:val="Listaconnmeros"/>
      </w:pPr>
      <w:r>
        <w:t xml:space="preserve">En la vida corriente, </w:t>
      </w:r>
      <w:r w:rsidR="00A70798">
        <w:t>tanto las personas como</w:t>
      </w:r>
      <w:r>
        <w:t xml:space="preserve"> las organizaciones están vinculadas con redes sociales focales o egocéntricas y con redes sociales sociocéntricas. Ambos tipos de redes, articuladas funcionalmente, constituyen su sistema básico de apoyo e </w:t>
      </w:r>
      <w:r w:rsidR="00C72B67">
        <w:t>inclusión</w:t>
      </w:r>
      <w:r>
        <w:t xml:space="preserve"> social. </w:t>
      </w:r>
    </w:p>
    <w:p w14:paraId="1847ADCA" w14:textId="6F3C8A28" w:rsidR="009455A6" w:rsidRDefault="0059200C" w:rsidP="0059200C">
      <w:pPr>
        <w:pStyle w:val="Listaconnmeros"/>
      </w:pPr>
      <w:r>
        <w:t xml:space="preserve">La Red Social Focal o Egocéntrica la definiremos como el sistema de conversación - acción que se estructura en torno a un nodo – foco. Esta red se presenta en dos escalas: personas y agrupaciones de personas. Cuando el nodo-foco es una persona, hablaremos de una Red Social Focal Personal. Cuando el nodo-foco es una agrupación, una institución, proyecto, una escuela, universidad, programa, municipio etc. hablaremos genéricamente de una Red Focal Organizacional. </w:t>
      </w:r>
    </w:p>
    <w:p w14:paraId="0BA84897" w14:textId="77233093" w:rsidR="009455A6" w:rsidRDefault="0059200C" w:rsidP="0056142E">
      <w:pPr>
        <w:pStyle w:val="Listaconnmeros"/>
      </w:pPr>
      <w:r>
        <w:t xml:space="preserve">La Red Sociocéntrica en cambio agrupa a actores organizacionales que interactúan colaborativamente en torno a un Foco Temático. Constituye un sistema de conversación - acción más estable, amplio y flexible de articulaciones multidimensionales entre organizaciones, instituciones, asociaciones, grupos y actores </w:t>
      </w:r>
      <w:r>
        <w:lastRenderedPageBreak/>
        <w:t>individuales que convergen –tanto discursiva como operativamente- en un tema común de interés, entre otros, prevención del consumo problemático de drogas, salud mental, ecología, derechos humanos, género, infancia, discapacidad, etc.</w:t>
      </w:r>
      <w:r w:rsidRPr="00401467">
        <w:t xml:space="preserve"> </w:t>
      </w:r>
    </w:p>
    <w:p w14:paraId="0867FBFD" w14:textId="1C0B73B6" w:rsidR="009455A6" w:rsidRDefault="00F13B64" w:rsidP="0027270C">
      <w:pPr>
        <w:pStyle w:val="Listaconnmeros"/>
      </w:pPr>
      <w:r w:rsidRPr="006D04D4">
        <w:rPr>
          <w:noProof/>
        </w:rPr>
        <w:drawing>
          <wp:anchor distT="0" distB="0" distL="114300" distR="114300" simplePos="0" relativeHeight="251659264" behindDoc="0" locked="0" layoutInCell="1" allowOverlap="1" wp14:anchorId="46662B83" wp14:editId="587696F5">
            <wp:simplePos x="0" y="0"/>
            <wp:positionH relativeFrom="column">
              <wp:posOffset>269875</wp:posOffset>
            </wp:positionH>
            <wp:positionV relativeFrom="paragraph">
              <wp:posOffset>291066</wp:posOffset>
            </wp:positionV>
            <wp:extent cx="1259205" cy="12788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205" cy="1278890"/>
                    </a:xfrm>
                    <a:prstGeom prst="rect">
                      <a:avLst/>
                    </a:prstGeom>
                  </pic:spPr>
                </pic:pic>
              </a:graphicData>
            </a:graphic>
            <wp14:sizeRelH relativeFrom="page">
              <wp14:pctWidth>0</wp14:pctWidth>
            </wp14:sizeRelH>
            <wp14:sizeRelV relativeFrom="page">
              <wp14:pctHeight>0</wp14:pctHeight>
            </wp14:sizeRelV>
          </wp:anchor>
        </w:drawing>
      </w:r>
      <w:r w:rsidR="0059200C" w:rsidRPr="009455A6">
        <w:rPr>
          <w:u w:val="single"/>
        </w:rPr>
        <w:t>A escala de las personas</w:t>
      </w:r>
      <w:r w:rsidR="0059200C">
        <w:t xml:space="preserve">, la red focal personal es la que las incluye a sus matrices cotidianas de vida, construyendo su espacio social íntimo, privado y semiprivado (o semipúblico) fundamental para su economía afectiva e instrumental </w:t>
      </w:r>
      <w:sdt>
        <w:sdtPr>
          <w:id w:val="1331958750"/>
          <w:citation/>
        </w:sdtPr>
        <w:sdtEndPr/>
        <w:sdtContent>
          <w:r w:rsidR="0059200C">
            <w:fldChar w:fldCharType="begin"/>
          </w:r>
          <w:r w:rsidR="0059200C">
            <w:instrText xml:space="preserve"> CITATION Mar \l 3082 </w:instrText>
          </w:r>
          <w:r w:rsidR="0059200C">
            <w:fldChar w:fldCharType="separate"/>
          </w:r>
          <w:r w:rsidR="0059200C" w:rsidRPr="0059200C">
            <w:rPr>
              <w:noProof/>
            </w:rPr>
            <w:t>(Martínez Ravanal, 2006)</w:t>
          </w:r>
          <w:r w:rsidR="0059200C">
            <w:fldChar w:fldCharType="end"/>
          </w:r>
        </w:sdtContent>
      </w:sdt>
      <w:r w:rsidR="0059200C">
        <w:t>. La red egocéntrica incluye todas las personas con las que de alguna manera una persona está en contacto, comprendiendo así el vasto dominio de sus relaciones sociales en su representación espacio</w:t>
      </w:r>
      <w:r w:rsidR="0059200C">
        <w:noBreakHyphen/>
        <w:t xml:space="preserve">temporal. La red social es la familia desplegada sobre varias generaciones, los amigos, los vecinos, los pares, los colegas de trabajo, los miembros de las distintas agrupaciones a las que pertenece la persona, etc. </w:t>
      </w:r>
      <w:sdt>
        <w:sdtPr>
          <w:id w:val="-351346621"/>
          <w:citation/>
        </w:sdtPr>
        <w:sdtEndPr/>
        <w:sdtContent>
          <w:r w:rsidR="0059200C">
            <w:fldChar w:fldCharType="begin"/>
          </w:r>
          <w:r w:rsidR="0059200C">
            <w:instrText xml:space="preserve"> CITATION Mar \l 3082 </w:instrText>
          </w:r>
          <w:r w:rsidR="0059200C">
            <w:fldChar w:fldCharType="separate"/>
          </w:r>
          <w:r w:rsidR="0059200C" w:rsidRPr="0059200C">
            <w:rPr>
              <w:noProof/>
            </w:rPr>
            <w:t>(Martínez Ravanal, 2006)</w:t>
          </w:r>
          <w:r w:rsidR="0059200C">
            <w:fldChar w:fldCharType="end"/>
          </w:r>
        </w:sdtContent>
      </w:sdt>
      <w:r w:rsidR="0059200C">
        <w:t>.</w:t>
      </w:r>
    </w:p>
    <w:p w14:paraId="4F085026" w14:textId="11CB4EF0" w:rsidR="00A7565B" w:rsidRDefault="0059200C" w:rsidP="0027270C">
      <w:pPr>
        <w:pStyle w:val="Listaconnmeros"/>
      </w:pPr>
      <w:r w:rsidRPr="009455A6">
        <w:rPr>
          <w:u w:val="single"/>
        </w:rPr>
        <w:t>A escala de las organizaciones</w:t>
      </w:r>
      <w:r>
        <w:t xml:space="preserve">, los actores con los que se vincula en red una organización juegan un rol fundamental para su desempeño en ámbitos tales como la implementación en sus zonas primarias de operación, la construcción de factibilidad para el despliegue de su estrategia y el logro de sus objetivos, el ajuste de su </w:t>
      </w:r>
      <w:r w:rsidR="003A27C9">
        <w:t>estrategia</w:t>
      </w:r>
      <w:r>
        <w:t xml:space="preserve"> a los contextos situacionales, la gestión de proximidad con las personas, familias, grupos y comunidades.</w:t>
      </w:r>
      <w:r w:rsidRPr="000D7E55">
        <w:t xml:space="preserve"> </w:t>
      </w:r>
    </w:p>
    <w:p w14:paraId="44F428A9" w14:textId="32607C09" w:rsidR="003A27C9" w:rsidRPr="0066664E" w:rsidRDefault="00C348A1" w:rsidP="00D02F0F">
      <w:pPr>
        <w:pStyle w:val="Listaconnmeros"/>
      </w:pPr>
      <w:r>
        <w:t xml:space="preserve">Una red </w:t>
      </w:r>
      <w:r w:rsidR="00786BE6">
        <w:t>de carácter sociocéntrico</w:t>
      </w:r>
      <w:r w:rsidR="003A27C9">
        <w:t>:</w:t>
      </w:r>
      <w:r w:rsidR="001D0D99" w:rsidRPr="001D0D99">
        <w:rPr>
          <w:noProof/>
        </w:rPr>
        <w:t xml:space="preserve"> </w:t>
      </w:r>
    </w:p>
    <w:p w14:paraId="65C8B109" w14:textId="0266CBE5" w:rsidR="003A27C9" w:rsidRDefault="00C348A1" w:rsidP="00CF65A3">
      <w:pPr>
        <w:pStyle w:val="Listaconnmeros2"/>
      </w:pPr>
      <w:r>
        <w:t>Tiene</w:t>
      </w:r>
      <w:r w:rsidR="003A27C9">
        <w:t xml:space="preserve"> un</w:t>
      </w:r>
      <w:r>
        <w:t xml:space="preserve"> carácter holístico, lo que le </w:t>
      </w:r>
      <w:r w:rsidR="003A27C9">
        <w:t>permite abordar un amplio rango de temas relevantes</w:t>
      </w:r>
      <w:r w:rsidR="003A27C9" w:rsidRPr="00490038">
        <w:t xml:space="preserve">; </w:t>
      </w:r>
      <w:r>
        <w:t>funciona</w:t>
      </w:r>
      <w:r w:rsidR="003A27C9">
        <w:t xml:space="preserve"> en torno a </w:t>
      </w:r>
      <w:r w:rsidR="003A27C9" w:rsidRPr="00490038">
        <w:t>objetivos múl</w:t>
      </w:r>
      <w:r>
        <w:t>tiples e integrales; posibilita</w:t>
      </w:r>
      <w:r w:rsidR="003A27C9" w:rsidRPr="00490038">
        <w:t xml:space="preserve"> el paso de una visión sectorial a una multidimensi</w:t>
      </w:r>
      <w:r w:rsidR="003A27C9">
        <w:t>onal en las políticas públicas</w:t>
      </w:r>
      <w:r w:rsidR="003A27C9" w:rsidRPr="00490038">
        <w:t>, previ</w:t>
      </w:r>
      <w:r w:rsidR="003A27C9">
        <w:t>niendo</w:t>
      </w:r>
      <w:r w:rsidR="003A27C9" w:rsidRPr="00490038">
        <w:rPr>
          <w:lang w:val="es-CL"/>
        </w:rPr>
        <w:t xml:space="preserve"> la fragmentación programática en </w:t>
      </w:r>
      <w:r w:rsidR="003A27C9">
        <w:rPr>
          <w:lang w:val="es-CL"/>
        </w:rPr>
        <w:t xml:space="preserve">el </w:t>
      </w:r>
      <w:r w:rsidR="003A27C9" w:rsidRPr="00490038">
        <w:rPr>
          <w:lang w:val="es-CL"/>
        </w:rPr>
        <w:t>territorio comunal.</w:t>
      </w:r>
    </w:p>
    <w:p w14:paraId="5F3C97B6" w14:textId="2494CFBF" w:rsidR="003A27C9" w:rsidRPr="00ED6DF5" w:rsidRDefault="00C348A1" w:rsidP="003A27C9">
      <w:pPr>
        <w:pStyle w:val="Listaconnmeros2"/>
        <w:rPr>
          <w:lang w:val="es-ES_tradnl"/>
        </w:rPr>
      </w:pPr>
      <w:r>
        <w:t>Promueve</w:t>
      </w:r>
      <w:r w:rsidR="003A27C9">
        <w:t xml:space="preserve"> el desarrollo de vínculos colaborativos, </w:t>
      </w:r>
      <w:r w:rsidR="003A27C9">
        <w:rPr>
          <w:lang w:val="es-CL"/>
        </w:rPr>
        <w:t>fortaleciendo</w:t>
      </w:r>
      <w:r w:rsidR="003A27C9" w:rsidRPr="00ED6DF5">
        <w:rPr>
          <w:lang w:val="es-CL"/>
        </w:rPr>
        <w:t xml:space="preserve"> relaciones de confianza y reciprocidad en el territorio</w:t>
      </w:r>
      <w:r w:rsidR="003A27C9">
        <w:rPr>
          <w:lang w:val="es-CL"/>
        </w:rPr>
        <w:t xml:space="preserve"> mediante la construcción de</w:t>
      </w:r>
      <w:r w:rsidR="003A27C9" w:rsidRPr="00ED6DF5">
        <w:rPr>
          <w:lang w:val="es-CL"/>
        </w:rPr>
        <w:t xml:space="preserve"> acciones sostenidas</w:t>
      </w:r>
      <w:r w:rsidR="003A27C9">
        <w:rPr>
          <w:lang w:val="es-CL"/>
        </w:rPr>
        <w:t xml:space="preserve"> de cooperación y reciprocidad, el </w:t>
      </w:r>
      <w:r w:rsidR="003A27C9" w:rsidRPr="00ED6DF5">
        <w:rPr>
          <w:lang w:val="es-CL"/>
        </w:rPr>
        <w:t>intercambio de re</w:t>
      </w:r>
      <w:r w:rsidR="003A27C9">
        <w:rPr>
          <w:lang w:val="es-CL"/>
        </w:rPr>
        <w:t xml:space="preserve">cursos materiales y simbólicos, y la puesta en común de </w:t>
      </w:r>
      <w:r w:rsidR="003A27C9" w:rsidRPr="00ED6DF5">
        <w:rPr>
          <w:lang w:val="es-CL"/>
        </w:rPr>
        <w:t>experiencias compartidas</w:t>
      </w:r>
      <w:r w:rsidR="003A27C9">
        <w:rPr>
          <w:lang w:val="es-ES_tradnl"/>
        </w:rPr>
        <w:t>.</w:t>
      </w:r>
    </w:p>
    <w:p w14:paraId="3294FB1B" w14:textId="54FD5FF1" w:rsidR="003A27C9" w:rsidRDefault="00C348A1" w:rsidP="003A27C9">
      <w:pPr>
        <w:pStyle w:val="Listaconnmeros2"/>
      </w:pPr>
      <w:r>
        <w:rPr>
          <w:lang w:val="es-ES_tradnl"/>
        </w:rPr>
        <w:t>Es</w:t>
      </w:r>
      <w:r>
        <w:t xml:space="preserve"> flexible</w:t>
      </w:r>
      <w:r w:rsidR="003A27C9">
        <w:t xml:space="preserve"> y con capacidad para abordar las necesidades </w:t>
      </w:r>
      <w:proofErr w:type="spellStart"/>
      <w:r w:rsidR="003A27C9">
        <w:t>plantead</w:t>
      </w:r>
      <w:r w:rsidR="006C1834">
        <w:t>A</w:t>
      </w:r>
      <w:r w:rsidR="003A27C9">
        <w:t>s</w:t>
      </w:r>
      <w:proofErr w:type="spellEnd"/>
      <w:r w:rsidR="003A27C9">
        <w:t xml:space="preserve"> por </w:t>
      </w:r>
      <w:r w:rsidR="006D0A3C">
        <w:t>la gestión de los casos.</w:t>
      </w:r>
    </w:p>
    <w:p w14:paraId="34A55450" w14:textId="7BF291C6" w:rsidR="00ED1784" w:rsidRDefault="00F13B64" w:rsidP="003A27C9">
      <w:pPr>
        <w:pStyle w:val="Listaconnmeros2"/>
      </w:pPr>
      <w:r w:rsidRPr="001D0D99">
        <w:rPr>
          <w:noProof/>
        </w:rPr>
        <w:drawing>
          <wp:anchor distT="0" distB="0" distL="114300" distR="114300" simplePos="0" relativeHeight="251660288" behindDoc="0" locked="0" layoutInCell="1" allowOverlap="1" wp14:anchorId="39A979B9" wp14:editId="259C2AF0">
            <wp:simplePos x="0" y="0"/>
            <wp:positionH relativeFrom="column">
              <wp:posOffset>375920</wp:posOffset>
            </wp:positionH>
            <wp:positionV relativeFrom="paragraph">
              <wp:posOffset>249555</wp:posOffset>
            </wp:positionV>
            <wp:extent cx="1695450" cy="141033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95450" cy="1410335"/>
                    </a:xfrm>
                    <a:prstGeom prst="rect">
                      <a:avLst/>
                    </a:prstGeom>
                  </pic:spPr>
                </pic:pic>
              </a:graphicData>
            </a:graphic>
            <wp14:sizeRelH relativeFrom="page">
              <wp14:pctWidth>0</wp14:pctWidth>
            </wp14:sizeRelH>
            <wp14:sizeRelV relativeFrom="page">
              <wp14:pctHeight>0</wp14:pctHeight>
            </wp14:sizeRelV>
          </wp:anchor>
        </w:drawing>
      </w:r>
      <w:r w:rsidR="00C348A1">
        <w:t>Permite</w:t>
      </w:r>
      <w:r w:rsidR="00ED1784">
        <w:t xml:space="preserve"> articular de manera más coherente los recursos del territorio, evitando así la dispersión y la sobreintervención, </w:t>
      </w:r>
      <w:r w:rsidR="00C348A1">
        <w:t>aproximando</w:t>
      </w:r>
      <w:r w:rsidR="00ED1784">
        <w:t xml:space="preserve"> la oferta institucional a los proyectos de vida de los casos abordados</w:t>
      </w:r>
      <w:r w:rsidR="00783AC7">
        <w:t>.</w:t>
      </w:r>
    </w:p>
    <w:p w14:paraId="3B4F729B" w14:textId="42DEC697" w:rsidR="003A27C9" w:rsidRDefault="00B51F2E" w:rsidP="003A27C9">
      <w:pPr>
        <w:pStyle w:val="Listaconnmeros2"/>
      </w:pPr>
      <w:r>
        <w:t>Contribuye</w:t>
      </w:r>
      <w:r w:rsidR="003A27C9">
        <w:t xml:space="preserve"> a desarrollar redes operantes de apoyo, incrementando el capital social y favoreciendo las pautas de reciprocidad en la comunidad. </w:t>
      </w:r>
    </w:p>
    <w:p w14:paraId="71EC7B5F" w14:textId="0D22C8A8" w:rsidR="003A27C9" w:rsidRDefault="00B51F2E" w:rsidP="003A27C9">
      <w:pPr>
        <w:pStyle w:val="Listaconnmeros2"/>
      </w:pPr>
      <w:r>
        <w:t>Contribuye</w:t>
      </w:r>
      <w:r w:rsidR="003A27C9">
        <w:t xml:space="preserve"> a fortalecer las capacidades de agencia, tanto a nivel de las personas como de las organizaciones comunitarias. </w:t>
      </w:r>
    </w:p>
    <w:p w14:paraId="4DD258D4" w14:textId="250BCFBD" w:rsidR="003A27C9" w:rsidRPr="00C64F6C" w:rsidRDefault="00B51F2E" w:rsidP="003A27C9">
      <w:pPr>
        <w:pStyle w:val="Listaconnmeros2"/>
      </w:pPr>
      <w:r>
        <w:t>Promueve</w:t>
      </w:r>
      <w:r w:rsidR="003A27C9">
        <w:t xml:space="preserve"> soluciones innovadoras en el abordaje de los </w:t>
      </w:r>
      <w:r w:rsidR="00DA7DC3">
        <w:t>casos.</w:t>
      </w:r>
      <w:r w:rsidR="003A27C9">
        <w:t xml:space="preserve">    </w:t>
      </w:r>
    </w:p>
    <w:p w14:paraId="19A6AAB7" w14:textId="53200A46" w:rsidR="003A27C9" w:rsidRDefault="00B51F2E" w:rsidP="003A27C9">
      <w:pPr>
        <w:pStyle w:val="Listaconnmeros2"/>
      </w:pPr>
      <w:r>
        <w:t>Promueve</w:t>
      </w:r>
      <w:r w:rsidR="003A27C9">
        <w:t xml:space="preserve"> procesos políticos de movilización y conciencia crítica frente a las problemáticas </w:t>
      </w:r>
      <w:r w:rsidR="00DA7DC3">
        <w:t xml:space="preserve">asociadas </w:t>
      </w:r>
      <w:r w:rsidR="009A17F6">
        <w:t>al tema abordado</w:t>
      </w:r>
      <w:r w:rsidR="003A27C9">
        <w:t xml:space="preserve">.    </w:t>
      </w:r>
    </w:p>
    <w:p w14:paraId="29EFDEF6" w14:textId="2A042DAC" w:rsidR="003A27C9" w:rsidRPr="00884E1B" w:rsidRDefault="00B51F2E" w:rsidP="003A27C9">
      <w:pPr>
        <w:pStyle w:val="Listaconnmeros2"/>
        <w:rPr>
          <w:lang w:val="es-ES_tradnl"/>
        </w:rPr>
      </w:pPr>
      <w:r>
        <w:t>Facilita</w:t>
      </w:r>
      <w:r w:rsidR="003A27C9">
        <w:t xml:space="preserve"> e </w:t>
      </w:r>
      <w:r>
        <w:t>impulsa</w:t>
      </w:r>
      <w:r w:rsidR="003A27C9">
        <w:t xml:space="preserve"> procesos de inclusión sociocomunitaria mediante la </w:t>
      </w:r>
      <w:r w:rsidR="003A27C9">
        <w:rPr>
          <w:lang w:val="es-CL"/>
        </w:rPr>
        <w:t>c</w:t>
      </w:r>
      <w:r w:rsidR="003A27C9" w:rsidRPr="00884E1B">
        <w:rPr>
          <w:lang w:val="es-CL"/>
        </w:rPr>
        <w:t>onstrucción de culturas comunales inclusivas, protectoras, promocionales y preventivas</w:t>
      </w:r>
      <w:r w:rsidR="003A27C9">
        <w:rPr>
          <w:lang w:val="es-CL"/>
        </w:rPr>
        <w:t>.</w:t>
      </w:r>
      <w:r w:rsidR="003A27C9" w:rsidRPr="00884E1B">
        <w:rPr>
          <w:lang w:val="es-CL"/>
        </w:rPr>
        <w:t xml:space="preserve">  </w:t>
      </w:r>
    </w:p>
    <w:p w14:paraId="72494AD9" w14:textId="71DF7D28" w:rsidR="003A27C9" w:rsidRDefault="00B51F2E" w:rsidP="003A27C9">
      <w:pPr>
        <w:pStyle w:val="Listaconnmeros2"/>
      </w:pPr>
      <w:r>
        <w:t>Permite</w:t>
      </w:r>
      <w:r w:rsidR="003A27C9">
        <w:t xml:space="preserve"> articular el saber experto con el saber comunitario, posibilitando estrategias de gestión del conocimiento en los espacios locales y la puesta en común del </w:t>
      </w:r>
      <w:r w:rsidR="003A27C9">
        <w:rPr>
          <w:lang w:val="es-CL"/>
        </w:rPr>
        <w:t>aprendizaje experiencial</w:t>
      </w:r>
      <w:r w:rsidR="003A27C9" w:rsidRPr="008F2DB1">
        <w:rPr>
          <w:lang w:val="es-CL"/>
        </w:rPr>
        <w:t xml:space="preserve"> de los actores</w:t>
      </w:r>
      <w:r w:rsidR="003A27C9">
        <w:rPr>
          <w:lang w:val="es-CL"/>
        </w:rPr>
        <w:t xml:space="preserve"> que conforman la red</w:t>
      </w:r>
      <w:r w:rsidR="003A27C9" w:rsidRPr="008F2DB1">
        <w:rPr>
          <w:lang w:val="es-CL"/>
        </w:rPr>
        <w:t>: la red es una comunidad de aprendizaje.</w:t>
      </w:r>
    </w:p>
    <w:p w14:paraId="38F2A8C9" w14:textId="1CC89460" w:rsidR="006D3C74" w:rsidRPr="00783AC7" w:rsidRDefault="003A27C9" w:rsidP="006D3C74">
      <w:pPr>
        <w:pStyle w:val="Listaconnmeros2"/>
      </w:pPr>
      <w:r>
        <w:lastRenderedPageBreak/>
        <w:t xml:space="preserve">En resumen, </w:t>
      </w:r>
      <w:r w:rsidR="00B51F2E">
        <w:t xml:space="preserve">una red sociocéntrica constituye una </w:t>
      </w:r>
      <w:r w:rsidR="00EC3E53">
        <w:t>fuerza poderosa</w:t>
      </w:r>
      <w:r>
        <w:t xml:space="preserve"> para generar y conducir </w:t>
      </w:r>
      <w:r w:rsidR="00DA7DC3">
        <w:t xml:space="preserve">los procesos de </w:t>
      </w:r>
      <w:r w:rsidR="009A17F6">
        <w:t>inclusión sociocomunitaria</w:t>
      </w:r>
      <w:r w:rsidR="00786BE6">
        <w:t>.</w:t>
      </w:r>
      <w:r>
        <w:t xml:space="preserve">    </w:t>
      </w:r>
    </w:p>
    <w:p w14:paraId="4718D109" w14:textId="465DAC0C" w:rsidR="00E3185A" w:rsidRPr="00D20DD0" w:rsidRDefault="006332C5" w:rsidP="00E3185A">
      <w:pPr>
        <w:pStyle w:val="Ttulo1"/>
        <w:ind w:left="432" w:hanging="432"/>
      </w:pPr>
      <w:r w:rsidRPr="00295108">
        <w:rPr>
          <w:lang w:val="es-ES"/>
        </w:rPr>
        <w:t xml:space="preserve"> </w:t>
      </w:r>
      <w:bookmarkStart w:id="0" w:name="_Toc489798153"/>
      <w:bookmarkStart w:id="1" w:name="_Toc504164368"/>
      <w:r w:rsidR="00E3185A">
        <w:rPr>
          <w:lang w:val="es-ES"/>
        </w:rPr>
        <w:t xml:space="preserve">Trabajo en </w:t>
      </w:r>
      <w:r w:rsidR="00E3185A">
        <w:t>R</w:t>
      </w:r>
      <w:r w:rsidR="00E3185A" w:rsidRPr="00D20DD0">
        <w:t>ed con lógica de casos</w:t>
      </w:r>
      <w:bookmarkEnd w:id="0"/>
      <w:bookmarkEnd w:id="1"/>
    </w:p>
    <w:p w14:paraId="1E182967" w14:textId="0B063591" w:rsidR="00E3185A" w:rsidRPr="00D20DD0" w:rsidRDefault="00E3185A" w:rsidP="00E3185A">
      <w:r w:rsidRPr="00D20DD0">
        <w:t xml:space="preserve">En esta línea de acción </w:t>
      </w:r>
      <w:r>
        <w:t>se promoverá el</w:t>
      </w:r>
      <w:r w:rsidRPr="00D20DD0">
        <w:t xml:space="preserve"> trabajo </w:t>
      </w:r>
      <w:r>
        <w:t xml:space="preserve">de red con lógica de caso, mediante la realización de </w:t>
      </w:r>
      <w:r w:rsidRPr="00D20DD0">
        <w:t>mesas técnicas, comités,</w:t>
      </w:r>
      <w:r>
        <w:t xml:space="preserve"> jornadas, conversatorios, etc., que permita</w:t>
      </w:r>
      <w:r w:rsidRPr="00D20DD0">
        <w:t>n el desarrollo de un sistema compartido de información y conocimiento sobre las personas, familias y grupos con los que trabajan. Entre otros aspectos estas instancias</w:t>
      </w:r>
      <w:r>
        <w:t xml:space="preserve"> de trabajo en red con lógica de casos</w:t>
      </w:r>
      <w:r w:rsidRPr="00D20DD0">
        <w:t xml:space="preserve">: </w:t>
      </w:r>
    </w:p>
    <w:p w14:paraId="1FF913CF" w14:textId="6D4ED5A1" w:rsidR="00E3185A" w:rsidRPr="00D20DD0" w:rsidRDefault="00F13B64" w:rsidP="00E3185A">
      <w:pPr>
        <w:pStyle w:val="Listaconvietas2"/>
        <w:spacing w:before="60" w:after="60"/>
      </w:pPr>
      <w:r w:rsidRPr="00A76A1D">
        <w:rPr>
          <w:noProof/>
          <w:lang w:val="es-ES_tradnl"/>
        </w:rPr>
        <w:drawing>
          <wp:anchor distT="0" distB="0" distL="114300" distR="114300" simplePos="0" relativeHeight="251661312" behindDoc="0" locked="0" layoutInCell="1" allowOverlap="1" wp14:anchorId="64CCF0A8" wp14:editId="375F51FE">
            <wp:simplePos x="0" y="0"/>
            <wp:positionH relativeFrom="column">
              <wp:posOffset>130810</wp:posOffset>
            </wp:positionH>
            <wp:positionV relativeFrom="paragraph">
              <wp:posOffset>55466</wp:posOffset>
            </wp:positionV>
            <wp:extent cx="1764665" cy="2753360"/>
            <wp:effectExtent l="0" t="0" r="635"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H="1">
                      <a:off x="0" y="0"/>
                      <a:ext cx="1764665" cy="2753360"/>
                    </a:xfrm>
                    <a:prstGeom prst="rect">
                      <a:avLst/>
                    </a:prstGeom>
                  </pic:spPr>
                </pic:pic>
              </a:graphicData>
            </a:graphic>
            <wp14:sizeRelH relativeFrom="page">
              <wp14:pctWidth>0</wp14:pctWidth>
            </wp14:sizeRelH>
            <wp14:sizeRelV relativeFrom="page">
              <wp14:pctHeight>0</wp14:pctHeight>
            </wp14:sizeRelV>
          </wp:anchor>
        </w:drawing>
      </w:r>
      <w:r w:rsidR="00E3185A" w:rsidRPr="00D20DD0">
        <w:t>Contribuyen a establecer objetivos comunes entre los diferentes programas y servicios en un mismo territorio local</w:t>
      </w:r>
      <w:r w:rsidR="00E3185A">
        <w:t>.</w:t>
      </w:r>
    </w:p>
    <w:p w14:paraId="3179B94D" w14:textId="22D17D5B" w:rsidR="00E3185A" w:rsidRPr="00D20DD0" w:rsidRDefault="00E3185A" w:rsidP="00E3185A">
      <w:pPr>
        <w:pStyle w:val="Listaconvietas2"/>
        <w:spacing w:before="60" w:after="60"/>
      </w:pPr>
      <w:r w:rsidRPr="00D20DD0">
        <w:t>Posibilitan hacer un monitoreo y seg</w:t>
      </w:r>
      <w:r>
        <w:t>uimiento conjunto de los casos abordados.</w:t>
      </w:r>
      <w:r w:rsidR="00A76A1D" w:rsidRPr="00A76A1D">
        <w:rPr>
          <w:rFonts w:eastAsiaTheme="minorEastAsia" w:cstheme="minorBidi"/>
          <w:noProof/>
          <w:lang w:val="es-ES_tradnl" w:eastAsia="en-US" w:bidi="ar-SA"/>
        </w:rPr>
        <w:t xml:space="preserve"> </w:t>
      </w:r>
    </w:p>
    <w:p w14:paraId="25C6954B" w14:textId="418D85B2" w:rsidR="00E3185A" w:rsidRPr="00D20DD0" w:rsidRDefault="00E3185A" w:rsidP="00E3185A">
      <w:pPr>
        <w:pStyle w:val="Listaconvietas2"/>
        <w:spacing w:before="60" w:after="60"/>
      </w:pPr>
      <w:r w:rsidRPr="00D20DD0">
        <w:t>Optimizan los procesos de derivación</w:t>
      </w:r>
      <w:r>
        <w:t>.</w:t>
      </w:r>
    </w:p>
    <w:p w14:paraId="4E5A1B50" w14:textId="0207CEE3" w:rsidR="00E3185A" w:rsidRPr="00D20DD0" w:rsidRDefault="00E3185A" w:rsidP="00E3185A">
      <w:pPr>
        <w:pStyle w:val="Listaconvietas2"/>
        <w:spacing w:before="60" w:after="60"/>
      </w:pPr>
      <w:r w:rsidRPr="00D20DD0">
        <w:t>Previenen la sobreintervención</w:t>
      </w:r>
      <w:r>
        <w:t>.</w:t>
      </w:r>
    </w:p>
    <w:p w14:paraId="71D6A753" w14:textId="10B05265" w:rsidR="00E3185A" w:rsidRPr="00D20DD0" w:rsidRDefault="00E3185A" w:rsidP="00E3185A">
      <w:pPr>
        <w:pStyle w:val="Listaconvietas2"/>
        <w:spacing w:before="60" w:after="60"/>
      </w:pPr>
      <w:r w:rsidRPr="00D20DD0">
        <w:t>Y en el mejor de los casos, posibilitan realizar derivaciones asistidas.</w:t>
      </w:r>
    </w:p>
    <w:p w14:paraId="52DDFE22" w14:textId="542AE771" w:rsidR="00E3185A" w:rsidRPr="00D20DD0" w:rsidRDefault="00E3185A" w:rsidP="00E3185A">
      <w:r w:rsidRPr="00D20DD0">
        <w:t xml:space="preserve"> Trabajar en red con lógica de caso implica poner el caso de la persona en el foco operativo de la red, interesándose por su singularidad, -y, por tanto, por la particularidad de la atención a desplegar- teniendo en consideración los siguientes principios metodológicos:</w:t>
      </w:r>
    </w:p>
    <w:p w14:paraId="296B363F" w14:textId="77777777" w:rsidR="00E3185A" w:rsidRPr="00D20DD0" w:rsidRDefault="00E3185A" w:rsidP="00E3185A">
      <w:pPr>
        <w:pStyle w:val="Listaconvietas2"/>
        <w:spacing w:before="60" w:after="60"/>
      </w:pPr>
      <w:r w:rsidRPr="00D20DD0">
        <w:t>La centralidad del caso</w:t>
      </w:r>
      <w:r>
        <w:t>.</w:t>
      </w:r>
    </w:p>
    <w:p w14:paraId="110CC4D7" w14:textId="77777777" w:rsidR="00E3185A" w:rsidRPr="00D20DD0" w:rsidRDefault="00E3185A" w:rsidP="00E3185A">
      <w:pPr>
        <w:pStyle w:val="Listaconvietas2"/>
        <w:spacing w:before="60" w:after="60"/>
      </w:pPr>
      <w:r w:rsidRPr="00D20DD0">
        <w:t>La interdisciplinariedad, que contempla la mirada activa de una gran diversidad de profesionales</w:t>
      </w:r>
      <w:r>
        <w:t>.</w:t>
      </w:r>
    </w:p>
    <w:p w14:paraId="31E81731" w14:textId="77777777" w:rsidR="00E3185A" w:rsidRPr="00D20DD0" w:rsidRDefault="00E3185A" w:rsidP="00E3185A">
      <w:pPr>
        <w:pStyle w:val="Listaconvietas2"/>
        <w:spacing w:before="60" w:after="60"/>
      </w:pPr>
      <w:r w:rsidRPr="00D20DD0">
        <w:t>La responsabilidad y el compromiso ético de los profesionales que intervienen, así como de la persona que está siendo atendida</w:t>
      </w:r>
      <w:r>
        <w:t>.</w:t>
      </w:r>
    </w:p>
    <w:p w14:paraId="57C32F3C" w14:textId="63BDC4DF" w:rsidR="00E3185A" w:rsidRPr="004B7913" w:rsidRDefault="00E3185A" w:rsidP="006332C5">
      <w:pPr>
        <w:pStyle w:val="Listaconvietas2"/>
        <w:spacing w:before="60" w:after="60"/>
      </w:pPr>
      <w:r w:rsidRPr="00D20DD0">
        <w:t xml:space="preserve">La gestión colectiva y colaborativa del conocimiento en torno al caso: los distintos actores contribuyen en forma triangulada a generar conocimiento sobre </w:t>
      </w:r>
      <w:r>
        <w:t>el caso</w:t>
      </w:r>
      <w:r w:rsidRPr="00D20DD0">
        <w:t>.</w:t>
      </w:r>
    </w:p>
    <w:p w14:paraId="13907AED" w14:textId="75F8065B" w:rsidR="00295108" w:rsidRDefault="00295108" w:rsidP="006332C5">
      <w:pPr>
        <w:pStyle w:val="Ttulo2"/>
      </w:pPr>
      <w:r>
        <w:t xml:space="preserve">¿Cómo se evalúa la funcionalidad de una red sociocéntrica? </w:t>
      </w:r>
    </w:p>
    <w:p w14:paraId="19AB1197" w14:textId="624E8EED" w:rsidR="002B27C6" w:rsidRPr="005F5942" w:rsidRDefault="002B27C6" w:rsidP="006A277A">
      <w:pPr>
        <w:pStyle w:val="Listaconnmeros"/>
      </w:pPr>
      <w:r>
        <w:t>La funcionalidad de la red sociocéntrica puede ser evaluada desde dos tipos de prácticas colaborativas: 1) el intercambio de recursos y 2) la gestión del conocimiento.</w:t>
      </w:r>
    </w:p>
    <w:p w14:paraId="52CE8D2B" w14:textId="77777777" w:rsidR="002B27C6" w:rsidRDefault="002B27C6" w:rsidP="006A277A">
      <w:pPr>
        <w:pStyle w:val="Listaconnmeros"/>
      </w:pPr>
      <w:r>
        <w:t xml:space="preserve">El </w:t>
      </w:r>
      <w:r w:rsidRPr="004F7DE5">
        <w:rPr>
          <w:i/>
        </w:rPr>
        <w:t>intercambio de recursos</w:t>
      </w:r>
      <w:r>
        <w:t xml:space="preserve"> al interior de la red puede ser codificado como un continuo con </w:t>
      </w:r>
      <w:r w:rsidRPr="00531DAB">
        <w:rPr>
          <w:u w:val="single"/>
        </w:rPr>
        <w:t>un polo instrumental</w:t>
      </w:r>
      <w:r>
        <w:t xml:space="preserve"> (información, contactos, materiales; tecnología, transporte, estudios, empleo, mano de obra, capacitación; desarrollo de proyectos, etc.) y un </w:t>
      </w:r>
      <w:r w:rsidRPr="00531DAB">
        <w:rPr>
          <w:u w:val="single"/>
        </w:rPr>
        <w:t>polo psicosocial</w:t>
      </w:r>
      <w:r>
        <w:t xml:space="preserve"> (confianza, sentidos de pertenencia, apoyo y contención emocional, satisfacción, identidad, validación, reconocimiento, dinamización motivacional, etc.). Dependiendo de su nivel (alto, mediano, bajo) y tipo de intercambio, cada red puede ser situada en algún punto de este continuo.</w:t>
      </w:r>
    </w:p>
    <w:p w14:paraId="590A971E" w14:textId="001BB41A" w:rsidR="002B27C6" w:rsidRPr="005F5942" w:rsidRDefault="002B27C6" w:rsidP="006A277A">
      <w:pPr>
        <w:pStyle w:val="Listaconnmeros"/>
      </w:pPr>
      <w:r>
        <w:t>Ahora bien, como ya se ha señalado, las prácticas colaborativas pueden tener un sentido egocéntrico o sociocéntrico. En el sentido egocéntrico las prácticas generan intercambio dirigido especialmente a resolver necesidades ‘individuales ‘de cada uno de los actores (nodos) de la red. En su sentido sociocéntrico, las prácticas colaborativas de los actores están dirigidas a desarrollar y fortalecer las capacidades de la red en su globalidad.</w:t>
      </w:r>
    </w:p>
    <w:p w14:paraId="2386163E" w14:textId="7CA27913" w:rsidR="006A277A" w:rsidRDefault="002B27C6" w:rsidP="006A277A">
      <w:pPr>
        <w:pStyle w:val="Listaconnmeros"/>
      </w:pPr>
      <w:r>
        <w:lastRenderedPageBreak/>
        <w:t xml:space="preserve">La </w:t>
      </w:r>
      <w:r w:rsidRPr="004F7DE5">
        <w:rPr>
          <w:i/>
        </w:rPr>
        <w:t>gestión del conocimiento</w:t>
      </w:r>
      <w:r>
        <w:rPr>
          <w:i/>
        </w:rPr>
        <w:t xml:space="preserve"> e</w:t>
      </w:r>
      <w:r>
        <w:t xml:space="preserve">stá referida a prácticas de dinamización expresadas en las siguientes operaciones: </w:t>
      </w:r>
    </w:p>
    <w:p w14:paraId="4B125C5A" w14:textId="413F7614" w:rsidR="006A277A" w:rsidRDefault="00D47E95" w:rsidP="006A277A">
      <w:pPr>
        <w:pStyle w:val="Listaconnmeros2"/>
      </w:pPr>
      <w:r w:rsidRPr="00D47E95">
        <w:rPr>
          <w:noProof/>
        </w:rPr>
        <w:drawing>
          <wp:anchor distT="0" distB="0" distL="114300" distR="114300" simplePos="0" relativeHeight="251662336" behindDoc="0" locked="0" layoutInCell="1" allowOverlap="1" wp14:anchorId="41796D78" wp14:editId="5612BECA">
            <wp:simplePos x="0" y="0"/>
            <wp:positionH relativeFrom="column">
              <wp:posOffset>57150</wp:posOffset>
            </wp:positionH>
            <wp:positionV relativeFrom="paragraph">
              <wp:posOffset>43180</wp:posOffset>
            </wp:positionV>
            <wp:extent cx="2573020" cy="1519555"/>
            <wp:effectExtent l="0" t="0" r="508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020" cy="1519555"/>
                    </a:xfrm>
                    <a:prstGeom prst="rect">
                      <a:avLst/>
                    </a:prstGeom>
                  </pic:spPr>
                </pic:pic>
              </a:graphicData>
            </a:graphic>
            <wp14:sizeRelH relativeFrom="page">
              <wp14:pctWidth>0</wp14:pctWidth>
            </wp14:sizeRelH>
            <wp14:sizeRelV relativeFrom="page">
              <wp14:pctHeight>0</wp14:pctHeight>
            </wp14:sizeRelV>
          </wp:anchor>
        </w:drawing>
      </w:r>
      <w:r w:rsidR="002B27C6">
        <w:t xml:space="preserve">producción de conocimiento pertinente para el funcionamiento de la red; </w:t>
      </w:r>
    </w:p>
    <w:p w14:paraId="00B888D7" w14:textId="4DE40FD0" w:rsidR="006A277A" w:rsidRDefault="002B27C6" w:rsidP="006A277A">
      <w:pPr>
        <w:pStyle w:val="Listaconnmeros2"/>
      </w:pPr>
      <w:r>
        <w:t xml:space="preserve">organización del conocimiento producido; </w:t>
      </w:r>
    </w:p>
    <w:p w14:paraId="6BA9C0E7" w14:textId="2CC9C65E" w:rsidR="006A277A" w:rsidRDefault="002B27C6" w:rsidP="006A277A">
      <w:pPr>
        <w:pStyle w:val="Listaconnmeros2"/>
      </w:pPr>
      <w:r>
        <w:t xml:space="preserve">almacenamiento del conocimiento producido; </w:t>
      </w:r>
    </w:p>
    <w:p w14:paraId="246CE488" w14:textId="717AA911" w:rsidR="006A277A" w:rsidRDefault="002B27C6" w:rsidP="006A277A">
      <w:pPr>
        <w:pStyle w:val="Listaconnmeros2"/>
      </w:pPr>
      <w:r>
        <w:t xml:space="preserve">sistematización del conocimiento informal (tácito) producido en y para la práctica de los actores de la red; </w:t>
      </w:r>
    </w:p>
    <w:p w14:paraId="79A79024" w14:textId="45F43EEE" w:rsidR="006A277A" w:rsidRDefault="002B27C6" w:rsidP="006A277A">
      <w:pPr>
        <w:pStyle w:val="Listaconnmeros2"/>
      </w:pPr>
      <w:r>
        <w:t xml:space="preserve">apropiación práctica del conocimiento por los actores involucrados, procesos formativos; </w:t>
      </w:r>
    </w:p>
    <w:p w14:paraId="53A1DF84" w14:textId="054DDAAC" w:rsidR="006A277A" w:rsidRDefault="002B27C6" w:rsidP="006A277A">
      <w:pPr>
        <w:pStyle w:val="Listaconnmeros2"/>
      </w:pPr>
      <w:r>
        <w:t xml:space="preserve">uso efectivo del conocimiento producido y puesta en común del conocimiento en el conjunto de la red. </w:t>
      </w:r>
    </w:p>
    <w:p w14:paraId="06543457" w14:textId="5EAAA38F" w:rsidR="002B27C6" w:rsidRDefault="002B27C6" w:rsidP="006A277A">
      <w:pPr>
        <w:pStyle w:val="Listaconnmeros"/>
      </w:pPr>
      <w:r>
        <w:t>El logro de estas operaciones debiera contribuir al enriquecimiento del patrimonio de conocimiento de la red. Mediante la dinamización de su propio conocimiento la red aprende de sus propias prácticas y se desarrolla como estructura con mayor pertinencia funcional en un entorno dinámico y cambiante.</w:t>
      </w:r>
    </w:p>
    <w:p w14:paraId="6768AA4C" w14:textId="6B67A3BF" w:rsidR="002B27C6" w:rsidRDefault="002B27C6" w:rsidP="003102FE">
      <w:pPr>
        <w:pStyle w:val="Listaconnmeros"/>
      </w:pPr>
      <w:r>
        <w:t>Los niveles de estructuración de la red inciden en los niveles de intercambio de recursos y en la dinamización del conocimiento al interior de la red conformada de tal forma que:</w:t>
      </w:r>
    </w:p>
    <w:p w14:paraId="355A0465" w14:textId="77777777" w:rsidR="002B27C6" w:rsidRDefault="002B27C6" w:rsidP="000418CE">
      <w:pPr>
        <w:pStyle w:val="Listaconvietas2"/>
      </w:pPr>
      <w:r>
        <w:t>A mayor nivel de estructuración de la red mayores son los niveles de intercambio operante entre los actores, tanto de recursos instrumentales como psicosociales.</w:t>
      </w:r>
    </w:p>
    <w:p w14:paraId="596767EA" w14:textId="77777777" w:rsidR="002B27C6" w:rsidRDefault="002B27C6" w:rsidP="000418CE">
      <w:pPr>
        <w:pStyle w:val="Listaconvietas2"/>
      </w:pPr>
      <w:r>
        <w:t>A mayor nivel de estructuración de la red mayor es el nivel de intercambio sociocéntrico.</w:t>
      </w:r>
    </w:p>
    <w:p w14:paraId="6F0A51F3" w14:textId="77777777" w:rsidR="002B27C6" w:rsidRPr="00DA4A0C" w:rsidRDefault="002B27C6" w:rsidP="000418CE">
      <w:pPr>
        <w:pStyle w:val="Listaconvietas2"/>
      </w:pPr>
      <w:r>
        <w:t>A mayor nivel de estructuración mayor es la dinamización del conocimiento en la red.</w:t>
      </w:r>
    </w:p>
    <w:p w14:paraId="2AAD51DF" w14:textId="046664C6" w:rsidR="00C95881" w:rsidRDefault="00C95881" w:rsidP="003102FE">
      <w:pPr>
        <w:pStyle w:val="Ttulo1"/>
      </w:pPr>
      <w:bookmarkStart w:id="2" w:name="_Toc497124418"/>
      <w:r w:rsidRPr="00DB5C91">
        <w:t xml:space="preserve">¿Cómo se </w:t>
      </w:r>
      <w:r w:rsidR="003102FE">
        <w:t>construye una Red Sociocéntrica</w:t>
      </w:r>
      <w:r w:rsidRPr="00DB5C91">
        <w:t>?</w:t>
      </w:r>
      <w:bookmarkEnd w:id="2"/>
    </w:p>
    <w:p w14:paraId="068310E5" w14:textId="79AF7E3F" w:rsidR="00C7493A" w:rsidRDefault="00C95881" w:rsidP="00C7493A">
      <w:pPr>
        <w:pStyle w:val="Listaconnmeros"/>
      </w:pPr>
      <w:r>
        <w:t xml:space="preserve">La red sociocéntrica es necesario pensarla como una agregación de actores en torno a una práctica social específica de apoyo a las personas </w:t>
      </w:r>
      <w:r w:rsidR="009A17F6">
        <w:t xml:space="preserve">en situación de </w:t>
      </w:r>
      <w:r w:rsidR="004909F8">
        <w:t>vulnerabilidad</w:t>
      </w:r>
      <w:r>
        <w:t xml:space="preserve"> y su grupo de referencia. </w:t>
      </w:r>
    </w:p>
    <w:p w14:paraId="46F1C5A1" w14:textId="77777777" w:rsidR="00C7493A" w:rsidRDefault="00C95881" w:rsidP="00C7493A">
      <w:pPr>
        <w:pStyle w:val="Listaconnmeros"/>
      </w:pPr>
      <w:r>
        <w:t xml:space="preserve">Así concebida, esta red precisa de una negociación cooperativa o colaborativa de valores (significaciones) entre los actores que la componen, teniendo en cuenta la existencia de diferentes culturas y subculturas organizacionales entre estos diferentes actores en cuanto a cómo hacer y realizar las tareas. </w:t>
      </w:r>
    </w:p>
    <w:p w14:paraId="562A96E0" w14:textId="44377A8B" w:rsidR="00C95881" w:rsidRDefault="00C95881" w:rsidP="00C7493A">
      <w:pPr>
        <w:pStyle w:val="Listaconnmeros"/>
      </w:pPr>
      <w:r>
        <w:t xml:space="preserve">Estas culturas -que pueden dar lugar a escenarios de confrontación o competitividad, o bien de complementariedad o colaboración- influyen notoriamente sobre el comportamiento de los actores, dándole mayor o menor coherencia, mayor o menor dispersión a sus prácticas. </w:t>
      </w:r>
    </w:p>
    <w:p w14:paraId="1F650429" w14:textId="18AD4CCF" w:rsidR="00C7493A" w:rsidRDefault="00C7493A" w:rsidP="00C7493A">
      <w:pPr>
        <w:pStyle w:val="Ttulo1"/>
      </w:pPr>
      <w:r>
        <w:t>¿Qué es la práctica de red?</w:t>
      </w:r>
    </w:p>
    <w:p w14:paraId="3AEAF86D" w14:textId="77777777" w:rsidR="00C95881" w:rsidRDefault="00C95881" w:rsidP="00C7493A">
      <w:pPr>
        <w:pStyle w:val="Listaconnmeros"/>
      </w:pPr>
      <w:r>
        <w:t>La práctica de red es una secuencia programada de conversación - acción que tiene lugar entre un equipo profesional y un conjunto de actores sociales (institucionales o comunitarios o ambos) con el propósito de:</w:t>
      </w:r>
    </w:p>
    <w:p w14:paraId="63493A66" w14:textId="77777777" w:rsidR="00C95881" w:rsidRDefault="00C95881" w:rsidP="00C7493A">
      <w:pPr>
        <w:pStyle w:val="Listaconnmeros2"/>
      </w:pPr>
      <w:r>
        <w:t xml:space="preserve">Detectar las redes sociales ya existentes en el territorio determinado </w:t>
      </w:r>
    </w:p>
    <w:p w14:paraId="0B523BDE" w14:textId="77777777" w:rsidR="00C95881" w:rsidRDefault="00C95881" w:rsidP="00C7493A">
      <w:pPr>
        <w:pStyle w:val="Listaconnmeros2"/>
      </w:pPr>
      <w:r>
        <w:t>Fortalecer y optimizar el funcionamiento de las redes sociales existentes.</w:t>
      </w:r>
    </w:p>
    <w:p w14:paraId="6CCF5AD5" w14:textId="4D991AAF" w:rsidR="00C95881" w:rsidRDefault="00C95881" w:rsidP="00C7493A">
      <w:pPr>
        <w:pStyle w:val="Listaconnmeros2"/>
      </w:pPr>
      <w:r>
        <w:t xml:space="preserve">Crear contextos favorables a la emergencia de nuevas redes sociales </w:t>
      </w:r>
      <w:r w:rsidR="00EF6FE0">
        <w:t>s</w:t>
      </w:r>
      <w:r>
        <w:t xml:space="preserve">ociocéntricas en torno a la </w:t>
      </w:r>
      <w:r w:rsidR="009A17F6">
        <w:t>temática abordada</w:t>
      </w:r>
      <w:r>
        <w:t>.</w:t>
      </w:r>
    </w:p>
    <w:p w14:paraId="69DC9D81" w14:textId="4CE72F2B" w:rsidR="00C95881" w:rsidRDefault="001826FA" w:rsidP="001826FA">
      <w:pPr>
        <w:pStyle w:val="Listaconnmeros"/>
      </w:pPr>
      <w:r>
        <w:lastRenderedPageBreak/>
        <w:t>Todo ello aplicando</w:t>
      </w:r>
      <w:r w:rsidR="00C95881">
        <w:t xml:space="preserve"> una metodología de mediación de red, que consiste básicamente en una gestión comunicacional para</w:t>
      </w:r>
    </w:p>
    <w:p w14:paraId="4F934F14" w14:textId="72428B7F" w:rsidR="00C95881" w:rsidRDefault="00C95881" w:rsidP="00C95881">
      <w:pPr>
        <w:pStyle w:val="Prrafodelista"/>
        <w:numPr>
          <w:ilvl w:val="0"/>
          <w:numId w:val="2"/>
        </w:numPr>
      </w:pPr>
      <w:r>
        <w:t xml:space="preserve">Generar una red sociocéntrica </w:t>
      </w:r>
      <w:r w:rsidR="004909F8">
        <w:t>en la temática abordada por un proceso de intervención.</w:t>
      </w:r>
    </w:p>
    <w:p w14:paraId="79A83B16" w14:textId="05A5321E" w:rsidR="00C95881" w:rsidRPr="00B0397B" w:rsidRDefault="00C95881" w:rsidP="00C95881">
      <w:pPr>
        <w:pStyle w:val="Prrafodelista"/>
        <w:numPr>
          <w:ilvl w:val="0"/>
          <w:numId w:val="2"/>
        </w:numPr>
        <w:rPr>
          <w:rFonts w:cs="Arial"/>
          <w:i/>
        </w:rPr>
      </w:pPr>
      <w:r>
        <w:t xml:space="preserve">Desarrollarla operativamente en función de las necesidades de los casos </w:t>
      </w:r>
      <w:r w:rsidR="004909F8">
        <w:t xml:space="preserve">específicos </w:t>
      </w:r>
      <w:r>
        <w:t>abordados</w:t>
      </w:r>
      <w:r w:rsidR="004909F8">
        <w:t>.</w:t>
      </w:r>
    </w:p>
    <w:p w14:paraId="45EFB161" w14:textId="619E6F1B" w:rsidR="00C95881" w:rsidRDefault="00C95881" w:rsidP="001826FA">
      <w:pPr>
        <w:pStyle w:val="Listaconnmeros"/>
      </w:pPr>
      <w:r>
        <w:t>El equipo mediador es el catalizador que prepara, acelera y orquesta el trabajo de la red, la que en definitiva deberá asumir de manera autónoma la situación problema, movilizándose para establecer las</w:t>
      </w:r>
      <w:r w:rsidR="008A0DAF">
        <w:t xml:space="preserve"> bases de un apoyo efectivo a las personas</w:t>
      </w:r>
      <w:r>
        <w:t xml:space="preserve">. </w:t>
      </w:r>
    </w:p>
    <w:p w14:paraId="1774AFC8" w14:textId="77777777" w:rsidR="00C95881" w:rsidRDefault="00C95881" w:rsidP="001826FA">
      <w:pPr>
        <w:pStyle w:val="Listaconnmeros"/>
      </w:pPr>
      <w:r>
        <w:t>El objetivo principal de una mediación de red es transformar un campo social desagregado en una red efectiva de apoyo, dinamizándolo en torno a y a través de un proceso de resolución de problemas de inclusión sociocomunitaria.</w:t>
      </w:r>
    </w:p>
    <w:p w14:paraId="72884174" w14:textId="306547CC" w:rsidR="00C95881" w:rsidRDefault="00C95881" w:rsidP="001826FA">
      <w:pPr>
        <w:pStyle w:val="Listaconnmeros"/>
      </w:pPr>
      <w:r>
        <w:t xml:space="preserve">El equipo de mediación </w:t>
      </w:r>
      <w:proofErr w:type="gramStart"/>
      <w:r w:rsidR="00D46F19">
        <w:t>facilita,</w:t>
      </w:r>
      <w:proofErr w:type="gramEnd"/>
      <w:r>
        <w:t xml:space="preserve"> provoca los encuentros, el efecto red hará el resto.</w:t>
      </w:r>
      <w:r w:rsidRPr="003163E8">
        <w:t xml:space="preserve"> </w:t>
      </w:r>
      <w:r>
        <w:t>El efecto red reorienta eficazmente el poder de la red así reunida sacudiendo un sistema que se ha vuelto rígido, permitiendo que tengan lugar los cambios deseados. El efecto red es un aprendizaje colectivo, que atraviesa a toda la red involucrada: hay redefinición de problemas, se remueven los roles, se ablandan las viejas rutinas, se abren nuevas opciones relacionales, nuevas fórmulas de apoyo.</w:t>
      </w:r>
    </w:p>
    <w:p w14:paraId="2477F7FA" w14:textId="16193EA5" w:rsidR="006D3C74" w:rsidRPr="006D3C74" w:rsidRDefault="006D3C74" w:rsidP="001856E4">
      <w:pPr>
        <w:pStyle w:val="Ttulo1"/>
      </w:pPr>
      <w:r>
        <w:t>Consideraciones finales</w:t>
      </w:r>
    </w:p>
    <w:p w14:paraId="304247DF" w14:textId="77777777" w:rsidR="001856E4" w:rsidRDefault="00043DDF" w:rsidP="001856E4">
      <w:pPr>
        <w:pStyle w:val="Listaconnmeros"/>
      </w:pPr>
      <w:r>
        <w:t xml:space="preserve">En el escenario local de las políticas públicas se observa un predominio de una modalidad egocéntrica de articulación entre los programas, basada en gran medida en las redes sociales personales de los profesionales ejecutores. </w:t>
      </w:r>
    </w:p>
    <w:p w14:paraId="7B502BAF" w14:textId="79CBF878" w:rsidR="00043DDF" w:rsidRDefault="00043DDF" w:rsidP="001856E4">
      <w:pPr>
        <w:pStyle w:val="Listaconnmeros"/>
      </w:pPr>
      <w:r>
        <w:t>Se configura de tal modo una matriz sociocéntrica débil que limita el abordaje integral y sistemático de los casos y dificulta el posicionamiento estratégico de los temas en la política comunal. Todo ello disminuye la eficacia y eficiencia de las redes organizacionales.</w:t>
      </w:r>
    </w:p>
    <w:p w14:paraId="4DA8CF69" w14:textId="540A5A1B" w:rsidR="00043DDF" w:rsidRDefault="00043DDF" w:rsidP="00D86C52">
      <w:pPr>
        <w:pStyle w:val="Listaconnmeros"/>
      </w:pPr>
      <w:r>
        <w:t xml:space="preserve">Las redes cumplen funciones que las instituciones aisladas no puede realizar o las realizan mal. A mayor fragmentación y focalización de la política pública (expresada en una multiplicidad de programas específicos), mayor debiera ser el uso de una estrategia de redes.  En este contexto, la política pública local debiera disponer de una matriz sociocéntrica de redes que ordene los distintos programas en torno a foco temáticos comunes y en función de las necesidades territoriales. Esta matriz debiera definir para cada programa:  </w:t>
      </w:r>
    </w:p>
    <w:p w14:paraId="73DE1AD5" w14:textId="77777777" w:rsidR="004F73C1" w:rsidRDefault="004F73C1" w:rsidP="00AE43CD">
      <w:pPr>
        <w:pStyle w:val="Listaconvietas2"/>
      </w:pPr>
      <w:r>
        <w:t xml:space="preserve">su lugar en el entramado de redes de un territorio dado.  </w:t>
      </w:r>
    </w:p>
    <w:p w14:paraId="2AB86021" w14:textId="204A3992" w:rsidR="004F73C1" w:rsidRDefault="004F73C1" w:rsidP="00AE43CD">
      <w:pPr>
        <w:pStyle w:val="Listaconvietas2"/>
      </w:pPr>
      <w:r>
        <w:t>su funcionalidad específica e</w:t>
      </w:r>
      <w:r w:rsidR="00B24861">
        <w:t>n</w:t>
      </w:r>
      <w:r>
        <w:t xml:space="preserve"> esta matriz.</w:t>
      </w:r>
    </w:p>
    <w:p w14:paraId="7E4CAA7A" w14:textId="77777777" w:rsidR="004F73C1" w:rsidRDefault="004F73C1" w:rsidP="00AE43CD">
      <w:pPr>
        <w:pStyle w:val="Listaconvietas2"/>
      </w:pPr>
      <w:r>
        <w:t xml:space="preserve">el mapa de vínculos que lo conectan funcionalmente a los otros programas de la matriz. </w:t>
      </w:r>
    </w:p>
    <w:p w14:paraId="029FA7F5" w14:textId="77777777" w:rsidR="00B44703" w:rsidRPr="00957228" w:rsidRDefault="00B44703">
      <w:pPr>
        <w:rPr>
          <w:lang w:val="es-ES"/>
        </w:rPr>
      </w:pPr>
    </w:p>
    <w:sectPr w:rsidR="00B44703" w:rsidRPr="00957228" w:rsidSect="00553049">
      <w:footerReference w:type="even"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4AC77" w14:textId="77777777" w:rsidR="007419D5" w:rsidRDefault="007419D5" w:rsidP="009A0195">
      <w:r>
        <w:separator/>
      </w:r>
    </w:p>
  </w:endnote>
  <w:endnote w:type="continuationSeparator" w:id="0">
    <w:p w14:paraId="376F8BD2" w14:textId="77777777" w:rsidR="007419D5" w:rsidRDefault="007419D5" w:rsidP="009A0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9969435"/>
      <w:docPartObj>
        <w:docPartGallery w:val="Page Numbers (Bottom of Page)"/>
        <w:docPartUnique/>
      </w:docPartObj>
    </w:sdtPr>
    <w:sdtEndPr>
      <w:rPr>
        <w:rStyle w:val="Nmerodepgina"/>
      </w:rPr>
    </w:sdtEndPr>
    <w:sdtContent>
      <w:p w14:paraId="1FFEA285" w14:textId="481F902B" w:rsidR="00327164" w:rsidRDefault="00327164" w:rsidP="000A6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9CAB13F" w14:textId="77777777" w:rsidR="00327164" w:rsidRDefault="00327164" w:rsidP="0032716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32995896"/>
      <w:docPartObj>
        <w:docPartGallery w:val="Page Numbers (Bottom of Page)"/>
        <w:docPartUnique/>
      </w:docPartObj>
    </w:sdtPr>
    <w:sdtEndPr>
      <w:rPr>
        <w:rStyle w:val="Nmerodepgina"/>
      </w:rPr>
    </w:sdtEndPr>
    <w:sdtContent>
      <w:p w14:paraId="58BCB47B" w14:textId="59E86614" w:rsidR="00327164" w:rsidRDefault="00327164" w:rsidP="000A625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E47EF85" w14:textId="77777777" w:rsidR="00327164" w:rsidRDefault="00327164" w:rsidP="0032716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C2360" w14:textId="77777777" w:rsidR="007419D5" w:rsidRDefault="007419D5" w:rsidP="009A0195">
      <w:r>
        <w:separator/>
      </w:r>
    </w:p>
  </w:footnote>
  <w:footnote w:type="continuationSeparator" w:id="0">
    <w:p w14:paraId="021CA126" w14:textId="77777777" w:rsidR="007419D5" w:rsidRDefault="007419D5" w:rsidP="009A0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05pt;height:15.05pt" o:bullet="t">
        <v:imagedata r:id="rId1" o:title="Word Work File L_127282740"/>
      </v:shape>
    </w:pict>
  </w:numPicBullet>
  <w:abstractNum w:abstractNumId="0" w15:restartNumberingAfterBreak="0">
    <w:nsid w:val="FFFFFF7C"/>
    <w:multiLevelType w:val="singleLevel"/>
    <w:tmpl w:val="2E221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989C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5A5A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2644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F28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DE41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168D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688DF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6A76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4F642C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0711DA"/>
    <w:multiLevelType w:val="hybridMultilevel"/>
    <w:tmpl w:val="510A7F3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EA02908"/>
    <w:multiLevelType w:val="multilevel"/>
    <w:tmpl w:val="68D89816"/>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2" w15:restartNumberingAfterBreak="0">
    <w:nsid w:val="76475623"/>
    <w:multiLevelType w:val="hybridMultilevel"/>
    <w:tmpl w:val="C41042BC"/>
    <w:lvl w:ilvl="0" w:tplc="BD1C6CBC">
      <w:start w:val="1"/>
      <w:numFmt w:val="bullet"/>
      <w:pStyle w:val="Listaconnmeros2"/>
      <w:lvlText w:val=""/>
      <w:lvlPicBulletId w:val="0"/>
      <w:lvlJc w:val="left"/>
      <w:pPr>
        <w:ind w:left="1003" w:hanging="360"/>
      </w:pPr>
      <w:rPr>
        <w:rFonts w:ascii="Symbol" w:hAnsi="Symbol" w:hint="default"/>
      </w:rPr>
    </w:lvl>
    <w:lvl w:ilvl="1" w:tplc="040A0019" w:tentative="1">
      <w:start w:val="1"/>
      <w:numFmt w:val="lowerLetter"/>
      <w:lvlText w:val="%2."/>
      <w:lvlJc w:val="left"/>
      <w:pPr>
        <w:ind w:left="1723" w:hanging="360"/>
      </w:pPr>
    </w:lvl>
    <w:lvl w:ilvl="2" w:tplc="040A001B" w:tentative="1">
      <w:start w:val="1"/>
      <w:numFmt w:val="lowerRoman"/>
      <w:lvlText w:val="%3."/>
      <w:lvlJc w:val="right"/>
      <w:pPr>
        <w:ind w:left="2443" w:hanging="180"/>
      </w:pPr>
    </w:lvl>
    <w:lvl w:ilvl="3" w:tplc="040A000F" w:tentative="1">
      <w:start w:val="1"/>
      <w:numFmt w:val="decimal"/>
      <w:lvlText w:val="%4."/>
      <w:lvlJc w:val="left"/>
      <w:pPr>
        <w:ind w:left="3163" w:hanging="360"/>
      </w:pPr>
    </w:lvl>
    <w:lvl w:ilvl="4" w:tplc="040A0019" w:tentative="1">
      <w:start w:val="1"/>
      <w:numFmt w:val="lowerLetter"/>
      <w:lvlText w:val="%5."/>
      <w:lvlJc w:val="left"/>
      <w:pPr>
        <w:ind w:left="3883" w:hanging="360"/>
      </w:pPr>
    </w:lvl>
    <w:lvl w:ilvl="5" w:tplc="040A001B" w:tentative="1">
      <w:start w:val="1"/>
      <w:numFmt w:val="lowerRoman"/>
      <w:lvlText w:val="%6."/>
      <w:lvlJc w:val="right"/>
      <w:pPr>
        <w:ind w:left="4603" w:hanging="180"/>
      </w:pPr>
    </w:lvl>
    <w:lvl w:ilvl="6" w:tplc="040A000F" w:tentative="1">
      <w:start w:val="1"/>
      <w:numFmt w:val="decimal"/>
      <w:lvlText w:val="%7."/>
      <w:lvlJc w:val="left"/>
      <w:pPr>
        <w:ind w:left="5323" w:hanging="360"/>
      </w:pPr>
    </w:lvl>
    <w:lvl w:ilvl="7" w:tplc="040A0019" w:tentative="1">
      <w:start w:val="1"/>
      <w:numFmt w:val="lowerLetter"/>
      <w:lvlText w:val="%8."/>
      <w:lvlJc w:val="left"/>
      <w:pPr>
        <w:ind w:left="6043" w:hanging="360"/>
      </w:pPr>
    </w:lvl>
    <w:lvl w:ilvl="8" w:tplc="040A001B" w:tentative="1">
      <w:start w:val="1"/>
      <w:numFmt w:val="lowerRoman"/>
      <w:lvlText w:val="%9."/>
      <w:lvlJc w:val="right"/>
      <w:pPr>
        <w:ind w:left="6763" w:hanging="180"/>
      </w:pPr>
    </w:lvl>
  </w:abstractNum>
  <w:num w:numId="1">
    <w:abstractNumId w:val="12"/>
  </w:num>
  <w:num w:numId="2">
    <w:abstractNumId w:val="10"/>
  </w:num>
  <w:num w:numId="3">
    <w:abstractNumId w:val="12"/>
    <w:lvlOverride w:ilvl="0">
      <w:startOverride w:val="1"/>
    </w:lvlOverride>
  </w:num>
  <w:num w:numId="4">
    <w:abstractNumId w:val="9"/>
  </w:num>
  <w:num w:numId="5">
    <w:abstractNumId w:val="8"/>
  </w:num>
  <w:num w:numId="6">
    <w:abstractNumId w:val="8"/>
    <w:lvlOverride w:ilvl="0">
      <w:startOverride w:val="1"/>
    </w:lvlOverride>
  </w:num>
  <w:num w:numId="7">
    <w:abstractNumId w:val="12"/>
    <w:lvlOverride w:ilvl="0">
      <w:startOverride w:val="1"/>
    </w:lvlOverride>
  </w:num>
  <w:num w:numId="8">
    <w:abstractNumId w:val="3"/>
  </w:num>
  <w:num w:numId="9">
    <w:abstractNumId w:val="11"/>
  </w:num>
  <w:num w:numId="10">
    <w:abstractNumId w:val="7"/>
  </w:num>
  <w:num w:numId="11">
    <w:abstractNumId w:val="4"/>
  </w:num>
  <w:num w:numId="12">
    <w:abstractNumId w:val="5"/>
  </w:num>
  <w:num w:numId="13">
    <w:abstractNumId w:val="6"/>
  </w:num>
  <w:num w:numId="14">
    <w:abstractNumId w:val="0"/>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28"/>
    <w:rsid w:val="000262CA"/>
    <w:rsid w:val="0004037C"/>
    <w:rsid w:val="000418CE"/>
    <w:rsid w:val="00043DDF"/>
    <w:rsid w:val="00076C14"/>
    <w:rsid w:val="00084A1F"/>
    <w:rsid w:val="00091016"/>
    <w:rsid w:val="000D3758"/>
    <w:rsid w:val="00107E2B"/>
    <w:rsid w:val="00145822"/>
    <w:rsid w:val="00164839"/>
    <w:rsid w:val="00165DDF"/>
    <w:rsid w:val="001759BB"/>
    <w:rsid w:val="001826FA"/>
    <w:rsid w:val="001856E4"/>
    <w:rsid w:val="00194F17"/>
    <w:rsid w:val="001A0991"/>
    <w:rsid w:val="001C5829"/>
    <w:rsid w:val="001D0D99"/>
    <w:rsid w:val="001E461F"/>
    <w:rsid w:val="001E56AA"/>
    <w:rsid w:val="00202089"/>
    <w:rsid w:val="00232208"/>
    <w:rsid w:val="002346E2"/>
    <w:rsid w:val="00273751"/>
    <w:rsid w:val="00292608"/>
    <w:rsid w:val="00295108"/>
    <w:rsid w:val="00295C75"/>
    <w:rsid w:val="002A755F"/>
    <w:rsid w:val="002B27C6"/>
    <w:rsid w:val="002C6C80"/>
    <w:rsid w:val="003102FE"/>
    <w:rsid w:val="003144DF"/>
    <w:rsid w:val="003163E8"/>
    <w:rsid w:val="00327164"/>
    <w:rsid w:val="003364FD"/>
    <w:rsid w:val="00365C1A"/>
    <w:rsid w:val="003676CE"/>
    <w:rsid w:val="003810EF"/>
    <w:rsid w:val="003A27C9"/>
    <w:rsid w:val="003E1D57"/>
    <w:rsid w:val="0040207E"/>
    <w:rsid w:val="00412AA4"/>
    <w:rsid w:val="00422F0E"/>
    <w:rsid w:val="0042365F"/>
    <w:rsid w:val="00446B87"/>
    <w:rsid w:val="004552D8"/>
    <w:rsid w:val="00464580"/>
    <w:rsid w:val="0048370B"/>
    <w:rsid w:val="004909F8"/>
    <w:rsid w:val="0049276B"/>
    <w:rsid w:val="00496E9E"/>
    <w:rsid w:val="004B43DA"/>
    <w:rsid w:val="004B5501"/>
    <w:rsid w:val="004B7913"/>
    <w:rsid w:val="004D29B6"/>
    <w:rsid w:val="004F1855"/>
    <w:rsid w:val="004F1D73"/>
    <w:rsid w:val="004F73C1"/>
    <w:rsid w:val="005001FD"/>
    <w:rsid w:val="00502A04"/>
    <w:rsid w:val="00512609"/>
    <w:rsid w:val="00517DE4"/>
    <w:rsid w:val="0053629A"/>
    <w:rsid w:val="00543410"/>
    <w:rsid w:val="00546643"/>
    <w:rsid w:val="00553049"/>
    <w:rsid w:val="00577FBB"/>
    <w:rsid w:val="00590181"/>
    <w:rsid w:val="0059200C"/>
    <w:rsid w:val="006012A2"/>
    <w:rsid w:val="006332C5"/>
    <w:rsid w:val="00640469"/>
    <w:rsid w:val="00642A4F"/>
    <w:rsid w:val="006643C0"/>
    <w:rsid w:val="00674681"/>
    <w:rsid w:val="00682D47"/>
    <w:rsid w:val="006A277A"/>
    <w:rsid w:val="006C1356"/>
    <w:rsid w:val="006C1834"/>
    <w:rsid w:val="006C1DB0"/>
    <w:rsid w:val="006D04D4"/>
    <w:rsid w:val="006D0A3C"/>
    <w:rsid w:val="006D1CA4"/>
    <w:rsid w:val="006D3C74"/>
    <w:rsid w:val="006D5B19"/>
    <w:rsid w:val="006D6DA2"/>
    <w:rsid w:val="006E276A"/>
    <w:rsid w:val="006F7F3B"/>
    <w:rsid w:val="007327FD"/>
    <w:rsid w:val="007419D5"/>
    <w:rsid w:val="0075582C"/>
    <w:rsid w:val="00783AC7"/>
    <w:rsid w:val="00786BE6"/>
    <w:rsid w:val="007B5EB4"/>
    <w:rsid w:val="007E07DC"/>
    <w:rsid w:val="007F5C51"/>
    <w:rsid w:val="007F7BE6"/>
    <w:rsid w:val="0080650C"/>
    <w:rsid w:val="00812631"/>
    <w:rsid w:val="00860809"/>
    <w:rsid w:val="00865BBC"/>
    <w:rsid w:val="00881F67"/>
    <w:rsid w:val="0089156D"/>
    <w:rsid w:val="0089374A"/>
    <w:rsid w:val="00896F76"/>
    <w:rsid w:val="008A0DAF"/>
    <w:rsid w:val="008D77BB"/>
    <w:rsid w:val="008F0706"/>
    <w:rsid w:val="009001F3"/>
    <w:rsid w:val="00932D5A"/>
    <w:rsid w:val="009455A6"/>
    <w:rsid w:val="00946274"/>
    <w:rsid w:val="00951BA8"/>
    <w:rsid w:val="00957228"/>
    <w:rsid w:val="009647D2"/>
    <w:rsid w:val="009A0195"/>
    <w:rsid w:val="009A17F6"/>
    <w:rsid w:val="009A5420"/>
    <w:rsid w:val="009C5C0B"/>
    <w:rsid w:val="009D70BE"/>
    <w:rsid w:val="009E2977"/>
    <w:rsid w:val="009F721A"/>
    <w:rsid w:val="00A176F7"/>
    <w:rsid w:val="00A44B71"/>
    <w:rsid w:val="00A5401D"/>
    <w:rsid w:val="00A62EC7"/>
    <w:rsid w:val="00A70798"/>
    <w:rsid w:val="00A73F6A"/>
    <w:rsid w:val="00A7565B"/>
    <w:rsid w:val="00A76A1D"/>
    <w:rsid w:val="00A824E3"/>
    <w:rsid w:val="00AB43A0"/>
    <w:rsid w:val="00AE43CD"/>
    <w:rsid w:val="00AF3015"/>
    <w:rsid w:val="00B0397B"/>
    <w:rsid w:val="00B10776"/>
    <w:rsid w:val="00B209F8"/>
    <w:rsid w:val="00B24861"/>
    <w:rsid w:val="00B25D67"/>
    <w:rsid w:val="00B44703"/>
    <w:rsid w:val="00B51F2E"/>
    <w:rsid w:val="00B553C9"/>
    <w:rsid w:val="00B620A5"/>
    <w:rsid w:val="00B73286"/>
    <w:rsid w:val="00BA1C38"/>
    <w:rsid w:val="00C15F8B"/>
    <w:rsid w:val="00C348A1"/>
    <w:rsid w:val="00C72B67"/>
    <w:rsid w:val="00C7493A"/>
    <w:rsid w:val="00C8717B"/>
    <w:rsid w:val="00C95881"/>
    <w:rsid w:val="00CA03EB"/>
    <w:rsid w:val="00CA7212"/>
    <w:rsid w:val="00CD725D"/>
    <w:rsid w:val="00CF65A3"/>
    <w:rsid w:val="00D02F0F"/>
    <w:rsid w:val="00D145DC"/>
    <w:rsid w:val="00D22295"/>
    <w:rsid w:val="00D46D0C"/>
    <w:rsid w:val="00D46F19"/>
    <w:rsid w:val="00D47E95"/>
    <w:rsid w:val="00D822B5"/>
    <w:rsid w:val="00D86C52"/>
    <w:rsid w:val="00DA7DC3"/>
    <w:rsid w:val="00DC613A"/>
    <w:rsid w:val="00DE2124"/>
    <w:rsid w:val="00DE505B"/>
    <w:rsid w:val="00E10C7D"/>
    <w:rsid w:val="00E3185A"/>
    <w:rsid w:val="00E73404"/>
    <w:rsid w:val="00E82413"/>
    <w:rsid w:val="00E82580"/>
    <w:rsid w:val="00EC1C07"/>
    <w:rsid w:val="00EC3E53"/>
    <w:rsid w:val="00ED1784"/>
    <w:rsid w:val="00ED41C1"/>
    <w:rsid w:val="00EE1260"/>
    <w:rsid w:val="00EF6FE0"/>
    <w:rsid w:val="00F13B64"/>
    <w:rsid w:val="00F1684B"/>
    <w:rsid w:val="00F17E71"/>
    <w:rsid w:val="00F25548"/>
    <w:rsid w:val="00F61D53"/>
    <w:rsid w:val="00FA406A"/>
    <w:rsid w:val="00FD49CC"/>
    <w:rsid w:val="00FE528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A46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_trad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5BBC"/>
  </w:style>
  <w:style w:type="paragraph" w:styleId="Ttulo1">
    <w:name w:val="heading 1"/>
    <w:basedOn w:val="Normal"/>
    <w:next w:val="Normal"/>
    <w:link w:val="Ttulo1Car"/>
    <w:uiPriority w:val="9"/>
    <w:qFormat/>
    <w:rsid w:val="00865BBC"/>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865BBC"/>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865BBC"/>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865BBC"/>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865BBC"/>
    <w:pPr>
      <w:spacing w:before="200" w:after="0"/>
      <w:jc w:val="left"/>
      <w:outlineLvl w:val="4"/>
    </w:pPr>
    <w:rPr>
      <w:smallCaps/>
      <w:color w:val="C45911" w:themeColor="accent2" w:themeShade="BF"/>
      <w:spacing w:val="10"/>
      <w:sz w:val="22"/>
      <w:szCs w:val="26"/>
    </w:rPr>
  </w:style>
  <w:style w:type="paragraph" w:styleId="Ttulo6">
    <w:name w:val="heading 6"/>
    <w:basedOn w:val="Normal"/>
    <w:next w:val="Normal"/>
    <w:link w:val="Ttulo6Car"/>
    <w:uiPriority w:val="9"/>
    <w:semiHidden/>
    <w:unhideWhenUsed/>
    <w:qFormat/>
    <w:rsid w:val="00865BBC"/>
    <w:pPr>
      <w:spacing w:after="0"/>
      <w:jc w:val="left"/>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865BBC"/>
    <w:pPr>
      <w:spacing w:after="0"/>
      <w:jc w:val="left"/>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865BBC"/>
    <w:pPr>
      <w:spacing w:after="0"/>
      <w:jc w:val="left"/>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865BBC"/>
    <w:pPr>
      <w:spacing w:after="0"/>
      <w:jc w:val="left"/>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5BBC"/>
    <w:rPr>
      <w:smallCaps/>
      <w:spacing w:val="5"/>
      <w:sz w:val="32"/>
      <w:szCs w:val="32"/>
    </w:rPr>
  </w:style>
  <w:style w:type="character" w:customStyle="1" w:styleId="Ttulo2Car">
    <w:name w:val="Título 2 Car"/>
    <w:basedOn w:val="Fuentedeprrafopredeter"/>
    <w:link w:val="Ttulo2"/>
    <w:uiPriority w:val="9"/>
    <w:rsid w:val="00865BBC"/>
    <w:rPr>
      <w:smallCaps/>
      <w:spacing w:val="5"/>
      <w:sz w:val="28"/>
      <w:szCs w:val="28"/>
    </w:rPr>
  </w:style>
  <w:style w:type="paragraph" w:styleId="Textonotapie">
    <w:name w:val="footnote text"/>
    <w:basedOn w:val="Normal"/>
    <w:link w:val="TextonotapieCar"/>
    <w:uiPriority w:val="99"/>
    <w:unhideWhenUsed/>
    <w:rsid w:val="009A0195"/>
  </w:style>
  <w:style w:type="character" w:customStyle="1" w:styleId="TextonotapieCar">
    <w:name w:val="Texto nota pie Car"/>
    <w:basedOn w:val="Fuentedeprrafopredeter"/>
    <w:link w:val="Textonotapie"/>
    <w:uiPriority w:val="99"/>
    <w:rsid w:val="009A0195"/>
  </w:style>
  <w:style w:type="character" w:styleId="Refdenotaalpie">
    <w:name w:val="footnote reference"/>
    <w:basedOn w:val="Fuentedeprrafopredeter"/>
    <w:uiPriority w:val="99"/>
    <w:unhideWhenUsed/>
    <w:rsid w:val="009A0195"/>
    <w:rPr>
      <w:vertAlign w:val="superscript"/>
    </w:rPr>
  </w:style>
  <w:style w:type="paragraph" w:styleId="Listaconnmeros2">
    <w:name w:val="List Number 2"/>
    <w:basedOn w:val="Normal"/>
    <w:uiPriority w:val="99"/>
    <w:unhideWhenUsed/>
    <w:qFormat/>
    <w:rsid w:val="006A277A"/>
    <w:pPr>
      <w:numPr>
        <w:numId w:val="1"/>
      </w:numPr>
      <w:spacing w:before="60" w:after="60"/>
      <w:contextualSpacing/>
    </w:pPr>
    <w:rPr>
      <w:lang w:val="es-ES"/>
    </w:rPr>
  </w:style>
  <w:style w:type="paragraph" w:styleId="Prrafodelista">
    <w:name w:val="List Paragraph"/>
    <w:basedOn w:val="Normal"/>
    <w:uiPriority w:val="34"/>
    <w:qFormat/>
    <w:rsid w:val="00865BBC"/>
    <w:pPr>
      <w:ind w:left="720"/>
      <w:contextualSpacing/>
    </w:pPr>
  </w:style>
  <w:style w:type="character" w:customStyle="1" w:styleId="Ttulo3Car">
    <w:name w:val="Título 3 Car"/>
    <w:basedOn w:val="Fuentedeprrafopredeter"/>
    <w:link w:val="Ttulo3"/>
    <w:uiPriority w:val="9"/>
    <w:rsid w:val="00865BBC"/>
    <w:rPr>
      <w:smallCaps/>
      <w:spacing w:val="5"/>
      <w:sz w:val="24"/>
      <w:szCs w:val="24"/>
    </w:rPr>
  </w:style>
  <w:style w:type="paragraph" w:styleId="TtuloTDC">
    <w:name w:val="TOC Heading"/>
    <w:basedOn w:val="Ttulo1"/>
    <w:next w:val="Normal"/>
    <w:uiPriority w:val="39"/>
    <w:unhideWhenUsed/>
    <w:qFormat/>
    <w:rsid w:val="00865BBC"/>
    <w:pPr>
      <w:outlineLvl w:val="9"/>
    </w:pPr>
  </w:style>
  <w:style w:type="paragraph" w:styleId="TDC1">
    <w:name w:val="toc 1"/>
    <w:basedOn w:val="Normal"/>
    <w:next w:val="Normal"/>
    <w:autoRedefine/>
    <w:uiPriority w:val="39"/>
    <w:unhideWhenUsed/>
    <w:rsid w:val="00E82413"/>
    <w:pPr>
      <w:spacing w:before="120" w:after="120"/>
      <w:jc w:val="left"/>
    </w:pPr>
    <w:rPr>
      <w:b/>
      <w:bCs/>
      <w:caps/>
    </w:rPr>
  </w:style>
  <w:style w:type="paragraph" w:styleId="TDC2">
    <w:name w:val="toc 2"/>
    <w:basedOn w:val="Normal"/>
    <w:next w:val="Normal"/>
    <w:autoRedefine/>
    <w:uiPriority w:val="39"/>
    <w:unhideWhenUsed/>
    <w:rsid w:val="00E82413"/>
    <w:pPr>
      <w:spacing w:after="0"/>
      <w:ind w:left="200"/>
      <w:jc w:val="left"/>
    </w:pPr>
    <w:rPr>
      <w:smallCaps/>
    </w:rPr>
  </w:style>
  <w:style w:type="paragraph" w:styleId="TDC3">
    <w:name w:val="toc 3"/>
    <w:basedOn w:val="Normal"/>
    <w:next w:val="Normal"/>
    <w:autoRedefine/>
    <w:uiPriority w:val="39"/>
    <w:unhideWhenUsed/>
    <w:rsid w:val="00E82413"/>
    <w:pPr>
      <w:spacing w:after="0"/>
      <w:ind w:left="400"/>
      <w:jc w:val="left"/>
    </w:pPr>
    <w:rPr>
      <w:i/>
      <w:iCs/>
    </w:rPr>
  </w:style>
  <w:style w:type="character" w:styleId="Hipervnculo">
    <w:name w:val="Hyperlink"/>
    <w:basedOn w:val="Fuentedeprrafopredeter"/>
    <w:uiPriority w:val="99"/>
    <w:unhideWhenUsed/>
    <w:rsid w:val="00E82413"/>
    <w:rPr>
      <w:color w:val="0563C1" w:themeColor="hyperlink"/>
      <w:u w:val="single"/>
    </w:rPr>
  </w:style>
  <w:style w:type="paragraph" w:styleId="TDC4">
    <w:name w:val="toc 4"/>
    <w:basedOn w:val="Normal"/>
    <w:next w:val="Normal"/>
    <w:autoRedefine/>
    <w:uiPriority w:val="39"/>
    <w:semiHidden/>
    <w:unhideWhenUsed/>
    <w:rsid w:val="00E82413"/>
    <w:pPr>
      <w:spacing w:after="0"/>
      <w:ind w:left="600"/>
      <w:jc w:val="left"/>
    </w:pPr>
    <w:rPr>
      <w:sz w:val="18"/>
      <w:szCs w:val="18"/>
    </w:rPr>
  </w:style>
  <w:style w:type="paragraph" w:styleId="TDC5">
    <w:name w:val="toc 5"/>
    <w:basedOn w:val="Normal"/>
    <w:next w:val="Normal"/>
    <w:autoRedefine/>
    <w:uiPriority w:val="39"/>
    <w:semiHidden/>
    <w:unhideWhenUsed/>
    <w:rsid w:val="00E82413"/>
    <w:pPr>
      <w:spacing w:after="0"/>
      <w:ind w:left="800"/>
      <w:jc w:val="left"/>
    </w:pPr>
    <w:rPr>
      <w:sz w:val="18"/>
      <w:szCs w:val="18"/>
    </w:rPr>
  </w:style>
  <w:style w:type="paragraph" w:styleId="TDC6">
    <w:name w:val="toc 6"/>
    <w:basedOn w:val="Normal"/>
    <w:next w:val="Normal"/>
    <w:autoRedefine/>
    <w:uiPriority w:val="39"/>
    <w:semiHidden/>
    <w:unhideWhenUsed/>
    <w:rsid w:val="00E82413"/>
    <w:pPr>
      <w:spacing w:after="0"/>
      <w:ind w:left="1000"/>
      <w:jc w:val="left"/>
    </w:pPr>
    <w:rPr>
      <w:sz w:val="18"/>
      <w:szCs w:val="18"/>
    </w:rPr>
  </w:style>
  <w:style w:type="paragraph" w:styleId="TDC7">
    <w:name w:val="toc 7"/>
    <w:basedOn w:val="Normal"/>
    <w:next w:val="Normal"/>
    <w:autoRedefine/>
    <w:uiPriority w:val="39"/>
    <w:semiHidden/>
    <w:unhideWhenUsed/>
    <w:rsid w:val="00E82413"/>
    <w:pPr>
      <w:spacing w:after="0"/>
      <w:ind w:left="1200"/>
      <w:jc w:val="left"/>
    </w:pPr>
    <w:rPr>
      <w:sz w:val="18"/>
      <w:szCs w:val="18"/>
    </w:rPr>
  </w:style>
  <w:style w:type="paragraph" w:styleId="TDC8">
    <w:name w:val="toc 8"/>
    <w:basedOn w:val="Normal"/>
    <w:next w:val="Normal"/>
    <w:autoRedefine/>
    <w:uiPriority w:val="39"/>
    <w:semiHidden/>
    <w:unhideWhenUsed/>
    <w:rsid w:val="00E82413"/>
    <w:pPr>
      <w:spacing w:after="0"/>
      <w:ind w:left="1400"/>
      <w:jc w:val="left"/>
    </w:pPr>
    <w:rPr>
      <w:sz w:val="18"/>
      <w:szCs w:val="18"/>
    </w:rPr>
  </w:style>
  <w:style w:type="paragraph" w:styleId="TDC9">
    <w:name w:val="toc 9"/>
    <w:basedOn w:val="Normal"/>
    <w:next w:val="Normal"/>
    <w:autoRedefine/>
    <w:uiPriority w:val="39"/>
    <w:semiHidden/>
    <w:unhideWhenUsed/>
    <w:rsid w:val="00E82413"/>
    <w:pPr>
      <w:spacing w:after="0"/>
      <w:ind w:left="1600"/>
      <w:jc w:val="left"/>
    </w:pPr>
    <w:rPr>
      <w:sz w:val="18"/>
      <w:szCs w:val="18"/>
    </w:rPr>
  </w:style>
  <w:style w:type="character" w:styleId="Refdecomentario">
    <w:name w:val="annotation reference"/>
    <w:basedOn w:val="Fuentedeprrafopredeter"/>
    <w:uiPriority w:val="99"/>
    <w:semiHidden/>
    <w:unhideWhenUsed/>
    <w:rsid w:val="00B10776"/>
    <w:rPr>
      <w:sz w:val="18"/>
      <w:szCs w:val="18"/>
    </w:rPr>
  </w:style>
  <w:style w:type="paragraph" w:styleId="Textocomentario">
    <w:name w:val="annotation text"/>
    <w:basedOn w:val="Normal"/>
    <w:link w:val="TextocomentarioCar"/>
    <w:uiPriority w:val="99"/>
    <w:semiHidden/>
    <w:unhideWhenUsed/>
    <w:rsid w:val="00B10776"/>
  </w:style>
  <w:style w:type="character" w:customStyle="1" w:styleId="TextocomentarioCar">
    <w:name w:val="Texto comentario Car"/>
    <w:basedOn w:val="Fuentedeprrafopredeter"/>
    <w:link w:val="Textocomentario"/>
    <w:uiPriority w:val="99"/>
    <w:semiHidden/>
    <w:rsid w:val="00B10776"/>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B10776"/>
    <w:rPr>
      <w:b/>
      <w:bCs/>
    </w:rPr>
  </w:style>
  <w:style w:type="character" w:customStyle="1" w:styleId="AsuntodelcomentarioCar">
    <w:name w:val="Asunto del comentario Car"/>
    <w:basedOn w:val="TextocomentarioCar"/>
    <w:link w:val="Asuntodelcomentario"/>
    <w:uiPriority w:val="99"/>
    <w:semiHidden/>
    <w:rsid w:val="00B10776"/>
    <w:rPr>
      <w:rFonts w:ascii="Times New Roman" w:hAnsi="Times New Roman"/>
      <w:b/>
      <w:bCs/>
      <w:sz w:val="20"/>
      <w:szCs w:val="20"/>
    </w:rPr>
  </w:style>
  <w:style w:type="paragraph" w:styleId="Textodeglobo">
    <w:name w:val="Balloon Text"/>
    <w:basedOn w:val="Normal"/>
    <w:link w:val="TextodegloboCar"/>
    <w:uiPriority w:val="99"/>
    <w:semiHidden/>
    <w:unhideWhenUsed/>
    <w:rsid w:val="00B10776"/>
    <w:rPr>
      <w:rFonts w:cs="Times New Roman"/>
      <w:sz w:val="18"/>
      <w:szCs w:val="18"/>
    </w:rPr>
  </w:style>
  <w:style w:type="character" w:customStyle="1" w:styleId="TextodegloboCar">
    <w:name w:val="Texto de globo Car"/>
    <w:basedOn w:val="Fuentedeprrafopredeter"/>
    <w:link w:val="Textodeglobo"/>
    <w:uiPriority w:val="99"/>
    <w:semiHidden/>
    <w:rsid w:val="00B10776"/>
    <w:rPr>
      <w:rFonts w:ascii="Times New Roman" w:hAnsi="Times New Roman" w:cs="Times New Roman"/>
      <w:sz w:val="18"/>
      <w:szCs w:val="18"/>
    </w:rPr>
  </w:style>
  <w:style w:type="paragraph" w:styleId="Revisin">
    <w:name w:val="Revision"/>
    <w:hidden/>
    <w:uiPriority w:val="99"/>
    <w:semiHidden/>
    <w:rsid w:val="00B10776"/>
    <w:rPr>
      <w:rFonts w:ascii="Times New Roman" w:hAnsi="Times New Roman"/>
    </w:rPr>
  </w:style>
  <w:style w:type="paragraph" w:styleId="Listaconvietas">
    <w:name w:val="List Bullet"/>
    <w:basedOn w:val="Normal"/>
    <w:semiHidden/>
    <w:rsid w:val="002B27C6"/>
    <w:pPr>
      <w:numPr>
        <w:numId w:val="4"/>
      </w:numPr>
      <w:spacing w:before="120" w:after="120"/>
    </w:pPr>
    <w:rPr>
      <w:rFonts w:eastAsia="Times New Roman" w:cs="Times New Roman"/>
      <w:lang w:val="es-ES" w:eastAsia="es-ES" w:bidi="he-IL"/>
    </w:rPr>
  </w:style>
  <w:style w:type="paragraph" w:customStyle="1" w:styleId="Estilo1">
    <w:name w:val="Estilo1"/>
    <w:basedOn w:val="Listaconvietas"/>
    <w:autoRedefine/>
    <w:qFormat/>
    <w:rsid w:val="002B27C6"/>
    <w:pPr>
      <w:spacing w:before="0" w:after="0"/>
      <w:ind w:left="357" w:hanging="357"/>
    </w:pPr>
    <w:rPr>
      <w:i/>
      <w:sz w:val="22"/>
    </w:rPr>
  </w:style>
  <w:style w:type="paragraph" w:styleId="Listaconnmeros">
    <w:name w:val="List Number"/>
    <w:basedOn w:val="Normal"/>
    <w:unhideWhenUsed/>
    <w:qFormat/>
    <w:rsid w:val="004F73C1"/>
    <w:pPr>
      <w:numPr>
        <w:numId w:val="5"/>
      </w:numPr>
      <w:contextualSpacing/>
    </w:pPr>
  </w:style>
  <w:style w:type="paragraph" w:styleId="Listaconvietas2">
    <w:name w:val="List Bullet 2"/>
    <w:basedOn w:val="Normal"/>
    <w:uiPriority w:val="99"/>
    <w:unhideWhenUsed/>
    <w:rsid w:val="00091016"/>
    <w:pPr>
      <w:numPr>
        <w:numId w:val="10"/>
      </w:numPr>
      <w:spacing w:before="120" w:after="120"/>
      <w:contextualSpacing/>
    </w:pPr>
    <w:rPr>
      <w:rFonts w:eastAsia="Times New Roman" w:cs="Times New Roman"/>
      <w:lang w:val="es-ES" w:eastAsia="es-ES" w:bidi="he-IL"/>
    </w:rPr>
  </w:style>
  <w:style w:type="paragraph" w:styleId="Ttulo">
    <w:name w:val="Title"/>
    <w:basedOn w:val="Normal"/>
    <w:next w:val="Normal"/>
    <w:link w:val="TtuloCar"/>
    <w:uiPriority w:val="10"/>
    <w:qFormat/>
    <w:rsid w:val="00865BBC"/>
    <w:pPr>
      <w:pBdr>
        <w:top w:val="single" w:sz="12" w:space="1" w:color="ED7D31"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865BBC"/>
    <w:rPr>
      <w:smallCaps/>
      <w:sz w:val="48"/>
      <w:szCs w:val="48"/>
    </w:rPr>
  </w:style>
  <w:style w:type="character" w:customStyle="1" w:styleId="Ttulo4Car">
    <w:name w:val="Título 4 Car"/>
    <w:basedOn w:val="Fuentedeprrafopredeter"/>
    <w:link w:val="Ttulo4"/>
    <w:uiPriority w:val="9"/>
    <w:semiHidden/>
    <w:rsid w:val="00865BBC"/>
    <w:rPr>
      <w:smallCaps/>
      <w:spacing w:val="10"/>
      <w:sz w:val="22"/>
      <w:szCs w:val="22"/>
    </w:rPr>
  </w:style>
  <w:style w:type="character" w:customStyle="1" w:styleId="Ttulo5Car">
    <w:name w:val="Título 5 Car"/>
    <w:basedOn w:val="Fuentedeprrafopredeter"/>
    <w:link w:val="Ttulo5"/>
    <w:uiPriority w:val="9"/>
    <w:semiHidden/>
    <w:rsid w:val="00865BBC"/>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865BBC"/>
    <w:rPr>
      <w:smallCaps/>
      <w:color w:val="ED7D31" w:themeColor="accent2"/>
      <w:spacing w:val="5"/>
      <w:sz w:val="22"/>
    </w:rPr>
  </w:style>
  <w:style w:type="character" w:customStyle="1" w:styleId="Ttulo7Car">
    <w:name w:val="Título 7 Car"/>
    <w:basedOn w:val="Fuentedeprrafopredeter"/>
    <w:link w:val="Ttulo7"/>
    <w:uiPriority w:val="9"/>
    <w:semiHidden/>
    <w:rsid w:val="00865BBC"/>
    <w:rPr>
      <w:b/>
      <w:smallCaps/>
      <w:color w:val="ED7D31" w:themeColor="accent2"/>
      <w:spacing w:val="10"/>
    </w:rPr>
  </w:style>
  <w:style w:type="character" w:customStyle="1" w:styleId="Ttulo8Car">
    <w:name w:val="Título 8 Car"/>
    <w:basedOn w:val="Fuentedeprrafopredeter"/>
    <w:link w:val="Ttulo8"/>
    <w:uiPriority w:val="9"/>
    <w:semiHidden/>
    <w:rsid w:val="00865BBC"/>
    <w:rPr>
      <w:b/>
      <w:i/>
      <w:smallCaps/>
      <w:color w:val="C45911" w:themeColor="accent2" w:themeShade="BF"/>
    </w:rPr>
  </w:style>
  <w:style w:type="character" w:customStyle="1" w:styleId="Ttulo9Car">
    <w:name w:val="Título 9 Car"/>
    <w:basedOn w:val="Fuentedeprrafopredeter"/>
    <w:link w:val="Ttulo9"/>
    <w:uiPriority w:val="9"/>
    <w:semiHidden/>
    <w:rsid w:val="00865BBC"/>
    <w:rPr>
      <w:b/>
      <w:i/>
      <w:smallCaps/>
      <w:color w:val="823B0B" w:themeColor="accent2" w:themeShade="7F"/>
    </w:rPr>
  </w:style>
  <w:style w:type="paragraph" w:styleId="Descripcin">
    <w:name w:val="caption"/>
    <w:basedOn w:val="Normal"/>
    <w:next w:val="Normal"/>
    <w:uiPriority w:val="35"/>
    <w:semiHidden/>
    <w:unhideWhenUsed/>
    <w:qFormat/>
    <w:rsid w:val="00865BBC"/>
    <w:rPr>
      <w:b/>
      <w:bCs/>
      <w:caps/>
      <w:sz w:val="16"/>
      <w:szCs w:val="18"/>
    </w:rPr>
  </w:style>
  <w:style w:type="paragraph" w:styleId="Subttulo">
    <w:name w:val="Subtitle"/>
    <w:basedOn w:val="Normal"/>
    <w:next w:val="Normal"/>
    <w:link w:val="SubttuloCar"/>
    <w:uiPriority w:val="11"/>
    <w:qFormat/>
    <w:rsid w:val="00865BBC"/>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865BBC"/>
    <w:rPr>
      <w:rFonts w:asciiTheme="majorHAnsi" w:eastAsiaTheme="majorEastAsia" w:hAnsiTheme="majorHAnsi" w:cstheme="majorBidi"/>
      <w:szCs w:val="22"/>
    </w:rPr>
  </w:style>
  <w:style w:type="character" w:styleId="Textoennegrita">
    <w:name w:val="Strong"/>
    <w:uiPriority w:val="22"/>
    <w:qFormat/>
    <w:rsid w:val="00865BBC"/>
    <w:rPr>
      <w:b/>
      <w:color w:val="ED7D31" w:themeColor="accent2"/>
    </w:rPr>
  </w:style>
  <w:style w:type="character" w:styleId="nfasis">
    <w:name w:val="Emphasis"/>
    <w:uiPriority w:val="20"/>
    <w:qFormat/>
    <w:rsid w:val="00865BBC"/>
    <w:rPr>
      <w:b/>
      <w:i/>
      <w:spacing w:val="10"/>
    </w:rPr>
  </w:style>
  <w:style w:type="paragraph" w:styleId="Sinespaciado">
    <w:name w:val="No Spacing"/>
    <w:basedOn w:val="Normal"/>
    <w:link w:val="SinespaciadoCar"/>
    <w:uiPriority w:val="1"/>
    <w:qFormat/>
    <w:rsid w:val="00865BBC"/>
    <w:pPr>
      <w:spacing w:after="0" w:line="240" w:lineRule="auto"/>
    </w:pPr>
  </w:style>
  <w:style w:type="character" w:customStyle="1" w:styleId="SinespaciadoCar">
    <w:name w:val="Sin espaciado Car"/>
    <w:basedOn w:val="Fuentedeprrafopredeter"/>
    <w:link w:val="Sinespaciado"/>
    <w:uiPriority w:val="1"/>
    <w:rsid w:val="00865BBC"/>
  </w:style>
  <w:style w:type="paragraph" w:styleId="Cita">
    <w:name w:val="Quote"/>
    <w:basedOn w:val="Normal"/>
    <w:next w:val="Normal"/>
    <w:link w:val="CitaCar"/>
    <w:uiPriority w:val="29"/>
    <w:qFormat/>
    <w:rsid w:val="00865BBC"/>
    <w:rPr>
      <w:i/>
    </w:rPr>
  </w:style>
  <w:style w:type="character" w:customStyle="1" w:styleId="CitaCar">
    <w:name w:val="Cita Car"/>
    <w:basedOn w:val="Fuentedeprrafopredeter"/>
    <w:link w:val="Cita"/>
    <w:uiPriority w:val="29"/>
    <w:rsid w:val="00865BBC"/>
    <w:rPr>
      <w:i/>
    </w:rPr>
  </w:style>
  <w:style w:type="paragraph" w:styleId="Citadestacada">
    <w:name w:val="Intense Quote"/>
    <w:basedOn w:val="Normal"/>
    <w:next w:val="Normal"/>
    <w:link w:val="CitadestacadaCar"/>
    <w:uiPriority w:val="30"/>
    <w:qFormat/>
    <w:rsid w:val="00865BB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865BBC"/>
    <w:rPr>
      <w:b/>
      <w:i/>
      <w:color w:val="FFFFFF" w:themeColor="background1"/>
      <w:shd w:val="clear" w:color="auto" w:fill="ED7D31" w:themeFill="accent2"/>
    </w:rPr>
  </w:style>
  <w:style w:type="character" w:styleId="nfasissutil">
    <w:name w:val="Subtle Emphasis"/>
    <w:uiPriority w:val="19"/>
    <w:qFormat/>
    <w:rsid w:val="00865BBC"/>
    <w:rPr>
      <w:i/>
    </w:rPr>
  </w:style>
  <w:style w:type="character" w:styleId="nfasisintenso">
    <w:name w:val="Intense Emphasis"/>
    <w:uiPriority w:val="21"/>
    <w:qFormat/>
    <w:rsid w:val="00865BBC"/>
    <w:rPr>
      <w:b/>
      <w:i/>
      <w:color w:val="ED7D31" w:themeColor="accent2"/>
      <w:spacing w:val="10"/>
    </w:rPr>
  </w:style>
  <w:style w:type="character" w:styleId="Referenciasutil">
    <w:name w:val="Subtle Reference"/>
    <w:uiPriority w:val="31"/>
    <w:qFormat/>
    <w:rsid w:val="00865BBC"/>
    <w:rPr>
      <w:b/>
    </w:rPr>
  </w:style>
  <w:style w:type="character" w:styleId="Referenciaintensa">
    <w:name w:val="Intense Reference"/>
    <w:uiPriority w:val="32"/>
    <w:qFormat/>
    <w:rsid w:val="00865BBC"/>
    <w:rPr>
      <w:b/>
      <w:bCs/>
      <w:smallCaps/>
      <w:spacing w:val="5"/>
      <w:sz w:val="22"/>
      <w:szCs w:val="22"/>
      <w:u w:val="single"/>
    </w:rPr>
  </w:style>
  <w:style w:type="character" w:styleId="Ttulodellibro">
    <w:name w:val="Book Title"/>
    <w:uiPriority w:val="33"/>
    <w:qFormat/>
    <w:rsid w:val="00865BBC"/>
    <w:rPr>
      <w:rFonts w:asciiTheme="majorHAnsi" w:eastAsiaTheme="majorEastAsia" w:hAnsiTheme="majorHAnsi" w:cstheme="majorBidi"/>
      <w:i/>
      <w:iCs/>
      <w:sz w:val="20"/>
      <w:szCs w:val="20"/>
    </w:rPr>
  </w:style>
  <w:style w:type="paragraph" w:styleId="Piedepgina">
    <w:name w:val="footer"/>
    <w:basedOn w:val="Normal"/>
    <w:link w:val="PiedepginaCar"/>
    <w:uiPriority w:val="99"/>
    <w:unhideWhenUsed/>
    <w:rsid w:val="00327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7164"/>
  </w:style>
  <w:style w:type="character" w:styleId="Nmerodepgina">
    <w:name w:val="page number"/>
    <w:basedOn w:val="Fuentedeprrafopredeter"/>
    <w:uiPriority w:val="99"/>
    <w:semiHidden/>
    <w:unhideWhenUsed/>
    <w:rsid w:val="00327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302666">
      <w:bodyDiv w:val="1"/>
      <w:marLeft w:val="0"/>
      <w:marRight w:val="0"/>
      <w:marTop w:val="0"/>
      <w:marBottom w:val="0"/>
      <w:divBdr>
        <w:top w:val="none" w:sz="0" w:space="0" w:color="auto"/>
        <w:left w:val="none" w:sz="0" w:space="0" w:color="auto"/>
        <w:bottom w:val="none" w:sz="0" w:space="0" w:color="auto"/>
        <w:right w:val="none" w:sz="0" w:space="0" w:color="auto"/>
      </w:divBdr>
    </w:div>
    <w:div w:id="1407923292">
      <w:bodyDiv w:val="1"/>
      <w:marLeft w:val="0"/>
      <w:marRight w:val="0"/>
      <w:marTop w:val="0"/>
      <w:marBottom w:val="0"/>
      <w:divBdr>
        <w:top w:val="none" w:sz="0" w:space="0" w:color="auto"/>
        <w:left w:val="none" w:sz="0" w:space="0" w:color="auto"/>
        <w:bottom w:val="none" w:sz="0" w:space="0" w:color="auto"/>
        <w:right w:val="none" w:sz="0" w:space="0" w:color="auto"/>
      </w:divBdr>
    </w:div>
    <w:div w:id="1831751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Mar</b:Tag>
    <b:SourceType>Book</b:SourceType>
    <b:Guid>{C3F5AC6B-3487-B84D-B076-7BD8A32B07C7}</b:Guid>
    <b:Title>El enfoque comunitario: el desafío de incorporar a la comunidad en las intervenciones sociales</b:Title>
    <b:Author>
      <b:Author>
        <b:NameList>
          <b:Person>
            <b:Last>Martínez Ravanal</b:Last>
            <b:First>Víctor</b:First>
            <b:Middle>Manuel</b:Middle>
          </b:Person>
        </b:NameList>
      </b:Author>
    </b:Author>
    <b:Publisher>Universidad de Chile. Facultad de Ciencias Sociales. Magíster de Psicología Comunitaria.</b:Publisher>
    <b:Year>2006</b:Year>
    <b:RefOrder>1</b:RefOrder>
  </b:Source>
</b:Sources>
</file>

<file path=customXml/itemProps1.xml><?xml version="1.0" encoding="utf-8"?>
<ds:datastoreItem xmlns:ds="http://schemas.openxmlformats.org/officeDocument/2006/customXml" ds:itemID="{5F2A7E26-D6F9-8B4A-B78E-5F146E51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2318</Words>
  <Characters>12751</Characters>
  <Application>Microsoft Office Word</Application>
  <DocSecurity>0</DocSecurity>
  <Lines>106</Lines>
  <Paragraphs>30</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
      <vt:lpstr>Objetivos</vt:lpstr>
      <vt:lpstr>Opciones pedagógicas</vt:lpstr>
      <vt:lpstr>¿Qué es una Red Social?</vt:lpstr>
      <vt:lpstr>¿Qué es una Red Sociocéntrica?</vt:lpstr>
      <vt:lpstr>¿Por qué su uso en el proyecto VAE?</vt:lpstr>
      <vt:lpstr>    ¿Cómo se evalúa la funcionalidad de una red sociocéntrica? </vt:lpstr>
      <vt:lpstr>¿Cómo se construye una Red Sociocéntrica?</vt:lpstr>
      <vt:lpstr>¿Qué es la práctica de red?</vt:lpstr>
      <vt:lpstr>Consideraciones finales</vt:lpstr>
    </vt:vector>
  </TitlesOfParts>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Víctor Manuel Martínez Ravanal</cp:lastModifiedBy>
  <cp:revision>2</cp:revision>
  <dcterms:created xsi:type="dcterms:W3CDTF">2021-09-04T14:07:00Z</dcterms:created>
  <dcterms:modified xsi:type="dcterms:W3CDTF">2021-09-04T14:07:00Z</dcterms:modified>
</cp:coreProperties>
</file>