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Trabajo grupal Psicología Social II 2020</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Trabajo Colaborativo</w:t>
      </w:r>
    </w:p>
    <w:p w:rsidR="00000000" w:rsidDel="00000000" w:rsidP="00000000" w:rsidRDefault="00000000" w:rsidRPr="00000000" w14:paraId="00000003">
      <w:pPr>
        <w:spacing w:after="240" w:before="240" w:lineRule="auto"/>
        <w:jc w:val="center"/>
        <w:rPr/>
      </w:pPr>
      <w:r w:rsidDel="00000000" w:rsidR="00000000" w:rsidRPr="00000000">
        <w:rPr>
          <w:b w:val="1"/>
          <w:rtl w:val="0"/>
        </w:rPr>
        <w:t xml:space="preserve"> Reunión de tutoría Nº3</w:t>
      </w: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170"/>
        <w:tblGridChange w:id="0">
          <w:tblGrid>
            <w:gridCol w:w="1830"/>
            <w:gridCol w:w="71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pPr>
            <w:r w:rsidDel="00000000" w:rsidR="00000000" w:rsidRPr="00000000">
              <w:rPr>
                <w:rtl w:val="0"/>
              </w:rPr>
              <w:t xml:space="preserve">Estudiantes: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pPr>
            <w:r w:rsidDel="00000000" w:rsidR="00000000" w:rsidRPr="00000000">
              <w:rPr>
                <w:rtl w:val="0"/>
              </w:rPr>
              <w:t xml:space="preserve">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pPr>
            <w:r w:rsidDel="00000000" w:rsidR="00000000" w:rsidRPr="00000000">
              <w:rPr>
                <w:rtl w:val="0"/>
              </w:rPr>
              <w:t xml:space="preserve">Ayudantes: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rPr/>
            </w:pPr>
            <w:r w:rsidDel="00000000" w:rsidR="00000000" w:rsidRPr="00000000">
              <w:rPr>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pPr>
            <w:r w:rsidDel="00000000" w:rsidR="00000000" w:rsidRPr="00000000">
              <w:rPr>
                <w:rtl w:val="0"/>
              </w:rPr>
              <w:t xml:space="preserve">Objetivo </w:t>
            </w:r>
          </w:p>
          <w:p w:rsidR="00000000" w:rsidDel="00000000" w:rsidP="00000000" w:rsidRDefault="00000000" w:rsidRPr="00000000" w14:paraId="0000000D">
            <w:pPr>
              <w:spacing w:after="240" w:before="240" w:lineRule="auto"/>
              <w:rPr/>
            </w:pPr>
            <w:r w:rsidDel="00000000" w:rsidR="00000000" w:rsidRPr="00000000">
              <w:rPr>
                <w:rtl w:val="0"/>
              </w:rPr>
              <w:t xml:space="preserve">Tutoría</w:t>
            </w:r>
            <w:r w:rsidDel="00000000" w:rsidR="00000000" w:rsidRPr="00000000">
              <w:rPr>
                <w:rtl w:val="0"/>
              </w:rPr>
              <w:t xml:space="preserve"> 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pPr>
            <w:r w:rsidDel="00000000" w:rsidR="00000000" w:rsidRPr="00000000">
              <w:rPr>
                <w:rtl w:val="0"/>
              </w:rPr>
            </w:r>
          </w:p>
          <w:p w:rsidR="00000000" w:rsidDel="00000000" w:rsidP="00000000" w:rsidRDefault="00000000" w:rsidRPr="00000000" w14:paraId="0000000F">
            <w:pPr>
              <w:widowControl w:val="0"/>
              <w:spacing w:line="240" w:lineRule="auto"/>
              <w:jc w:val="both"/>
              <w:rPr/>
            </w:pPr>
            <w:r w:rsidDel="00000000" w:rsidR="00000000" w:rsidRPr="00000000">
              <w:rPr>
                <w:rtl w:val="0"/>
              </w:rPr>
              <w:t xml:space="preserve">Retomar las ideas desarrolladas anteriormente para recapitular aprendizajes y comenzar la elaboración del producto divulgable.</w:t>
            </w:r>
          </w:p>
        </w:tc>
      </w:tr>
    </w:tbl>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Recordar: </w:t>
      </w:r>
      <w:r w:rsidDel="00000000" w:rsidR="00000000" w:rsidRPr="00000000">
        <w:rPr>
          <w:rtl w:val="0"/>
        </w:rPr>
        <w:t xml:space="preserve">Para realizar</w:t>
      </w:r>
      <w:r w:rsidDel="00000000" w:rsidR="00000000" w:rsidRPr="00000000">
        <w:rPr>
          <w:b w:val="1"/>
          <w:i w:val="1"/>
          <w:rtl w:val="0"/>
        </w:rPr>
        <w:t xml:space="preserve"> </w:t>
      </w:r>
      <w:r w:rsidDel="00000000" w:rsidR="00000000" w:rsidRPr="00000000">
        <w:rPr>
          <w:rtl w:val="0"/>
        </w:rPr>
        <w:t xml:space="preserve">un </w:t>
      </w:r>
      <w:r w:rsidDel="00000000" w:rsidR="00000000" w:rsidRPr="00000000">
        <w:rPr>
          <w:b w:val="1"/>
          <w:i w:val="1"/>
          <w:rtl w:val="0"/>
        </w:rPr>
        <w:t xml:space="preserve">análisis psicosocial</w:t>
      </w:r>
      <w:r w:rsidDel="00000000" w:rsidR="00000000" w:rsidRPr="00000000">
        <w:rPr>
          <w:rtl w:val="0"/>
        </w:rPr>
        <w:t xml:space="preserve"> se debe tomar y estudiar a los fenómenos de forma holística, valorando la profundidad y riqueza que reside en los detalles de la experiencia subjetiva. Para ello no interesan tanto las intenciones, lo que se quiso decir o las transformaciones que se quieren lograr; sino más bien, los efectos que las acciones y prácticas sociales tienen en el mundo social pensadas como productoras de realidad. En este caso el identificar una resistencia tiene que ver con una atribución nuestra desde una posición de investigadorxs la cual opera de forma independiente a lxs actorxs participantxs.</w:t>
      </w:r>
    </w:p>
    <w:p w:rsidR="00000000" w:rsidDel="00000000" w:rsidP="00000000" w:rsidRDefault="00000000" w:rsidRPr="00000000" w14:paraId="00000012">
      <w:pPr>
        <w:spacing w:before="240" w:lineRule="auto"/>
        <w:jc w:val="both"/>
        <w:rPr/>
      </w:pPr>
      <w:r w:rsidDel="00000000" w:rsidR="00000000" w:rsidRPr="00000000">
        <w:rPr>
          <w:rtl w:val="0"/>
        </w:rPr>
      </w:r>
    </w:p>
    <w:p w:rsidR="00000000" w:rsidDel="00000000" w:rsidP="00000000" w:rsidRDefault="00000000" w:rsidRPr="00000000" w14:paraId="00000013">
      <w:pPr>
        <w:numPr>
          <w:ilvl w:val="0"/>
          <w:numId w:val="1"/>
        </w:numPr>
        <w:spacing w:before="240" w:lineRule="auto"/>
        <w:ind w:left="720" w:hanging="360"/>
        <w:jc w:val="both"/>
        <w:rPr>
          <w:b w:val="1"/>
        </w:rPr>
      </w:pPr>
      <w:r w:rsidDel="00000000" w:rsidR="00000000" w:rsidRPr="00000000">
        <w:rPr>
          <w:b w:val="1"/>
          <w:rtl w:val="0"/>
        </w:rPr>
        <w:t xml:space="preserve">Identificar y/o explicitar tesis central </w:t>
      </w:r>
    </w:p>
    <w:p w:rsidR="00000000" w:rsidDel="00000000" w:rsidP="00000000" w:rsidRDefault="00000000" w:rsidRPr="00000000" w14:paraId="00000014">
      <w:pPr>
        <w:numPr>
          <w:ilvl w:val="1"/>
          <w:numId w:val="1"/>
        </w:numPr>
        <w:spacing w:before="240" w:lineRule="auto"/>
        <w:ind w:left="1440" w:hanging="360"/>
        <w:jc w:val="both"/>
      </w:pPr>
      <w:r w:rsidDel="00000000" w:rsidR="00000000" w:rsidRPr="00000000">
        <w:rPr>
          <w:rtl w:val="0"/>
        </w:rPr>
        <w:t xml:space="preserve">Recapitulando el análisis realizado anteriormente </w:t>
      </w:r>
      <w:r w:rsidDel="00000000" w:rsidR="00000000" w:rsidRPr="00000000">
        <w:rPr>
          <w:rtl w:val="0"/>
        </w:rPr>
        <w:t xml:space="preserve">¿Cuál sería la idea principal a la que adhieren para interpretar a su fenómeno o sujetx escogidx como resistente?</w:t>
      </w:r>
    </w:p>
    <w:p w:rsidR="00000000" w:rsidDel="00000000" w:rsidP="00000000" w:rsidRDefault="00000000" w:rsidRPr="00000000" w14:paraId="00000015">
      <w:pPr>
        <w:spacing w:before="240" w:lineRule="auto"/>
        <w:ind w:left="1440" w:firstLine="0"/>
        <w:jc w:val="both"/>
        <w:rPr/>
      </w:pPr>
      <w:r w:rsidDel="00000000" w:rsidR="00000000" w:rsidRPr="00000000">
        <w:rPr>
          <w:rtl w:val="0"/>
        </w:rPr>
      </w:r>
    </w:p>
    <w:p w:rsidR="00000000" w:rsidDel="00000000" w:rsidP="00000000" w:rsidRDefault="00000000" w:rsidRPr="00000000" w14:paraId="00000016">
      <w:pPr>
        <w:numPr>
          <w:ilvl w:val="0"/>
          <w:numId w:val="1"/>
        </w:numPr>
        <w:spacing w:before="240" w:lineRule="auto"/>
        <w:ind w:left="720" w:hanging="360"/>
        <w:jc w:val="both"/>
        <w:rPr>
          <w:b w:val="1"/>
        </w:rPr>
      </w:pPr>
      <w:r w:rsidDel="00000000" w:rsidR="00000000" w:rsidRPr="00000000">
        <w:rPr>
          <w:b w:val="1"/>
          <w:rtl w:val="0"/>
        </w:rPr>
        <w:t xml:space="preserve">Síntesis de las ideas generales que apoyan su interpretación y esquematización de estas para luego relacionarlas</w:t>
      </w:r>
    </w:p>
    <w:p w:rsidR="00000000" w:rsidDel="00000000" w:rsidP="00000000" w:rsidRDefault="00000000" w:rsidRPr="00000000" w14:paraId="00000017">
      <w:pPr>
        <w:numPr>
          <w:ilvl w:val="1"/>
          <w:numId w:val="1"/>
        </w:numPr>
        <w:spacing w:before="240" w:lineRule="auto"/>
        <w:ind w:left="1440" w:hanging="360"/>
        <w:jc w:val="both"/>
      </w:pPr>
      <w:r w:rsidDel="00000000" w:rsidR="00000000" w:rsidRPr="00000000">
        <w:rPr>
          <w:rtl w:val="0"/>
        </w:rPr>
        <w:t xml:space="preserve">¿Apoyados en qué elementos del marco conceptual transmitido en la cátedra se basan para justificar esta interpretación?</w:t>
      </w:r>
    </w:p>
    <w:p w:rsidR="00000000" w:rsidDel="00000000" w:rsidP="00000000" w:rsidRDefault="00000000" w:rsidRPr="00000000" w14:paraId="00000018">
      <w:pPr>
        <w:numPr>
          <w:ilvl w:val="1"/>
          <w:numId w:val="1"/>
        </w:numPr>
        <w:spacing w:before="240" w:lineRule="auto"/>
        <w:ind w:left="1440" w:hanging="360"/>
        <w:jc w:val="both"/>
        <w:rPr>
          <w:u w:val="none"/>
        </w:rPr>
      </w:pPr>
      <w:r w:rsidDel="00000000" w:rsidR="00000000" w:rsidRPr="00000000">
        <w:rPr>
          <w:rtl w:val="0"/>
        </w:rPr>
        <w:t xml:space="preserve">¿Cuáles serían los aspectos más fundamentales del fenómeno que permiten dicha interpretación?</w:t>
      </w:r>
    </w:p>
    <w:p w:rsidR="00000000" w:rsidDel="00000000" w:rsidP="00000000" w:rsidRDefault="00000000" w:rsidRPr="00000000" w14:paraId="00000019">
      <w:pPr>
        <w:spacing w:before="240" w:lineRule="auto"/>
        <w:ind w:left="1440" w:firstLine="0"/>
        <w:jc w:val="both"/>
        <w:rPr/>
      </w:pPr>
      <w:r w:rsidDel="00000000" w:rsidR="00000000" w:rsidRPr="00000000">
        <w:rPr>
          <w:rtl w:val="0"/>
        </w:rPr>
      </w:r>
    </w:p>
    <w:p w:rsidR="00000000" w:rsidDel="00000000" w:rsidP="00000000" w:rsidRDefault="00000000" w:rsidRPr="00000000" w14:paraId="0000001A">
      <w:pPr>
        <w:spacing w:before="240" w:lineRule="auto"/>
        <w:ind w:left="1440" w:firstLine="0"/>
        <w:jc w:val="both"/>
        <w:rPr/>
      </w:pPr>
      <w:r w:rsidDel="00000000" w:rsidR="00000000" w:rsidRPr="00000000">
        <w:rPr>
          <w:rtl w:val="0"/>
        </w:rPr>
      </w:r>
    </w:p>
    <w:p w:rsidR="00000000" w:rsidDel="00000000" w:rsidP="00000000" w:rsidRDefault="00000000" w:rsidRPr="00000000" w14:paraId="0000001B">
      <w:pPr>
        <w:numPr>
          <w:ilvl w:val="0"/>
          <w:numId w:val="1"/>
        </w:numPr>
        <w:spacing w:after="0" w:afterAutospacing="0" w:before="240" w:lineRule="auto"/>
        <w:ind w:left="720" w:hanging="360"/>
        <w:jc w:val="both"/>
        <w:rPr>
          <w:b w:val="1"/>
        </w:rPr>
      </w:pPr>
      <w:r w:rsidDel="00000000" w:rsidR="00000000" w:rsidRPr="00000000">
        <w:rPr>
          <w:b w:val="1"/>
          <w:rtl w:val="0"/>
        </w:rPr>
        <w:t xml:space="preserve">Elaboración del producto a divulgar </w:t>
      </w:r>
    </w:p>
    <w:p w:rsidR="00000000" w:rsidDel="00000000" w:rsidP="00000000" w:rsidRDefault="00000000" w:rsidRPr="00000000" w14:paraId="0000001C">
      <w:pPr>
        <w:numPr>
          <w:ilvl w:val="1"/>
          <w:numId w:val="1"/>
        </w:numPr>
        <w:spacing w:after="0" w:afterAutospacing="0" w:before="0" w:beforeAutospacing="0" w:lineRule="auto"/>
        <w:ind w:left="1440" w:hanging="360"/>
        <w:jc w:val="both"/>
        <w:rPr>
          <w:u w:val="none"/>
        </w:rPr>
      </w:pPr>
      <w:r w:rsidDel="00000000" w:rsidR="00000000" w:rsidRPr="00000000">
        <w:rPr>
          <w:rtl w:val="0"/>
        </w:rPr>
        <w:t xml:space="preserve">¿Qué es lo queremos transmitir al espectador al ver nuestro producto?</w:t>
      </w:r>
    </w:p>
    <w:p w:rsidR="00000000" w:rsidDel="00000000" w:rsidP="00000000" w:rsidRDefault="00000000" w:rsidRPr="00000000" w14:paraId="0000001D">
      <w:pPr>
        <w:numPr>
          <w:ilvl w:val="1"/>
          <w:numId w:val="1"/>
        </w:numPr>
        <w:spacing w:after="0" w:afterAutospacing="0" w:before="0" w:beforeAutospacing="0" w:lineRule="auto"/>
        <w:ind w:left="1440" w:hanging="360"/>
        <w:jc w:val="both"/>
        <w:rPr>
          <w:u w:val="none"/>
        </w:rPr>
      </w:pPr>
      <w:r w:rsidDel="00000000" w:rsidR="00000000" w:rsidRPr="00000000">
        <w:rPr>
          <w:rtl w:val="0"/>
        </w:rPr>
        <w:t xml:space="preserve">¿Qué orden de ideas resulta más pertinente para comunicar nuestro análisis psicosocial?</w:t>
      </w:r>
    </w:p>
    <w:p w:rsidR="00000000" w:rsidDel="00000000" w:rsidP="00000000" w:rsidRDefault="00000000" w:rsidRPr="00000000" w14:paraId="0000001E">
      <w:pPr>
        <w:numPr>
          <w:ilvl w:val="1"/>
          <w:numId w:val="1"/>
        </w:numPr>
        <w:spacing w:after="0" w:afterAutospacing="0" w:before="0" w:beforeAutospacing="0" w:lineRule="auto"/>
        <w:ind w:left="1440" w:hanging="360"/>
        <w:jc w:val="both"/>
        <w:rPr>
          <w:u w:val="none"/>
        </w:rPr>
      </w:pPr>
      <w:r w:rsidDel="00000000" w:rsidR="00000000" w:rsidRPr="00000000">
        <w:rPr>
          <w:rtl w:val="0"/>
        </w:rPr>
        <w:t xml:space="preserve">¿De qué maneras nos imaginamos comunicar de manera sencilla(divulgable)  y/o creativa nuestro análisis?</w:t>
      </w:r>
    </w:p>
    <w:p w:rsidR="00000000" w:rsidDel="00000000" w:rsidP="00000000" w:rsidRDefault="00000000" w:rsidRPr="00000000" w14:paraId="0000001F">
      <w:pPr>
        <w:numPr>
          <w:ilvl w:val="1"/>
          <w:numId w:val="1"/>
        </w:numPr>
        <w:spacing w:after="240" w:before="0" w:beforeAutospacing="0" w:lineRule="auto"/>
        <w:ind w:left="1440" w:hanging="360"/>
        <w:jc w:val="both"/>
        <w:rPr>
          <w:u w:val="none"/>
        </w:rPr>
      </w:pPr>
      <w:r w:rsidDel="00000000" w:rsidR="00000000" w:rsidRPr="00000000">
        <w:rPr>
          <w:rtl w:val="0"/>
        </w:rPr>
        <w:t xml:space="preserve">¿Qué tipo de símbolos sería interesante utilizar para comunicar el análisis sobre el fenómeno?</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Tarea sustitutiva: Que comenten cómo fueron elaborando el producto, síntesis del proceso grupal para la elaboración del producto en alrededor de 2 párrafos, con plazo máximo de entrega el martes 12 de enero.</w:t>
      </w:r>
    </w:p>
    <w:p w:rsidR="00000000" w:rsidDel="00000000" w:rsidP="00000000" w:rsidRDefault="00000000" w:rsidRPr="00000000" w14:paraId="00000021">
      <w:pPr>
        <w:spacing w:before="240" w:lineRule="auto"/>
        <w:jc w:val="both"/>
        <w:rPr/>
      </w:pPr>
      <w:r w:rsidDel="00000000" w:rsidR="00000000" w:rsidRPr="00000000">
        <w:rPr>
          <w:rtl w:val="0"/>
        </w:rPr>
      </w:r>
    </w:p>
    <w:p w:rsidR="00000000" w:rsidDel="00000000" w:rsidP="00000000" w:rsidRDefault="00000000" w:rsidRPr="00000000" w14:paraId="00000022">
      <w:pPr>
        <w:spacing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