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732E0" w14:textId="77777777" w:rsidR="00A15113" w:rsidRDefault="00A22A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hidden="0" allowOverlap="1" wp14:anchorId="7969DC9E" wp14:editId="6D419B2C">
            <wp:simplePos x="0" y="0"/>
            <wp:positionH relativeFrom="column">
              <wp:posOffset>-114299</wp:posOffset>
            </wp:positionH>
            <wp:positionV relativeFrom="paragraph">
              <wp:posOffset>142875</wp:posOffset>
            </wp:positionV>
            <wp:extent cx="2319338" cy="1391603"/>
            <wp:effectExtent l="0" t="0" r="0" b="0"/>
            <wp:wrapSquare wrapText="bothSides" distT="0" distB="0" distL="0" distR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9338" cy="13916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37785E" w14:textId="77777777" w:rsidR="00A15113" w:rsidRDefault="00A151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118272" w14:textId="77777777" w:rsidR="00A15113" w:rsidRDefault="00A22A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hidden="0" allowOverlap="1" wp14:anchorId="08EAD7E8" wp14:editId="34698891">
            <wp:simplePos x="0" y="0"/>
            <wp:positionH relativeFrom="column">
              <wp:posOffset>3476625</wp:posOffset>
            </wp:positionH>
            <wp:positionV relativeFrom="paragraph">
              <wp:posOffset>133266</wp:posOffset>
            </wp:positionV>
            <wp:extent cx="2257425" cy="904959"/>
            <wp:effectExtent l="0" t="0" r="0" b="0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t="23209" b="2492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049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C61028" w14:textId="77777777" w:rsidR="00A15113" w:rsidRDefault="00A22A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Universidad de Chile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Estrategias de Acción Comunitaria</w:t>
      </w:r>
    </w:p>
    <w:p w14:paraId="69667F9B" w14:textId="77777777" w:rsidR="00A15113" w:rsidRDefault="00A22A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Escuela de Posgrado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Docente: Víctor Martínez</w:t>
      </w:r>
    </w:p>
    <w:p w14:paraId="1C3A5C8A" w14:textId="77777777" w:rsidR="00A15113" w:rsidRDefault="00A22A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Magíster Psicología Comunitaria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Ayudante: M. Belén Tapia</w:t>
      </w:r>
    </w:p>
    <w:p w14:paraId="05FCDDF2" w14:textId="77777777" w:rsidR="00A15113" w:rsidRDefault="00A151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DB4F26" w14:textId="77777777" w:rsidR="00A15113" w:rsidRDefault="00A15113"/>
    <w:p w14:paraId="08785487" w14:textId="77777777" w:rsidR="00A15113" w:rsidRDefault="00A15113"/>
    <w:p w14:paraId="0B4F6BDB" w14:textId="77777777" w:rsidR="00A15113" w:rsidRDefault="00A15113"/>
    <w:p w14:paraId="00E95581" w14:textId="77777777" w:rsidR="00A15113" w:rsidRDefault="00A15113"/>
    <w:p w14:paraId="1281D809" w14:textId="77777777" w:rsidR="00A15113" w:rsidRDefault="00A15113"/>
    <w:p w14:paraId="1A497E28" w14:textId="77777777" w:rsidR="00A15113" w:rsidRDefault="00A15113"/>
    <w:p w14:paraId="10797BF2" w14:textId="77777777" w:rsidR="00A15113" w:rsidRDefault="00A22A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Nota Núcleo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Lesbofeminismos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 Psicología Comunitaria</w:t>
      </w:r>
    </w:p>
    <w:p w14:paraId="1F949F9C" w14:textId="77777777" w:rsidR="00A15113" w:rsidRDefault="00A22A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Diseño de Taller Diagnóstico Organización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Diversilientes</w:t>
      </w:r>
      <w:proofErr w:type="spellEnd"/>
    </w:p>
    <w:p w14:paraId="23BBF7B5" w14:textId="77777777" w:rsidR="00A15113" w:rsidRDefault="00A151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A9648" w14:textId="77777777" w:rsidR="00A15113" w:rsidRDefault="00A151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44135" w14:textId="77777777" w:rsidR="00A15113" w:rsidRDefault="00A151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63F7B" w14:textId="77777777" w:rsidR="00A15113" w:rsidRDefault="00A151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E387D" w14:textId="77777777" w:rsidR="00A15113" w:rsidRDefault="00A151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9DCD7" w14:textId="77777777" w:rsidR="00A15113" w:rsidRDefault="00A151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9FE40" w14:textId="77777777" w:rsidR="00A15113" w:rsidRDefault="00A151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B7E12" w14:textId="77777777" w:rsidR="00A15113" w:rsidRDefault="00A151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F04172" w14:textId="77777777" w:rsidR="00A15113" w:rsidRDefault="00A151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0B8D9A" w14:textId="77777777" w:rsidR="00A15113" w:rsidRDefault="00A22AB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Participantes:</w:t>
      </w:r>
    </w:p>
    <w:p w14:paraId="7C4428F4" w14:textId="4301DE63" w:rsidR="00A15113" w:rsidRDefault="00A22A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Céline Burgos</w:t>
      </w:r>
    </w:p>
    <w:p w14:paraId="5DE41AF0" w14:textId="77777777" w:rsidR="00A15113" w:rsidRDefault="00A22A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Paula Madrid</w:t>
      </w:r>
    </w:p>
    <w:p w14:paraId="12EA6499" w14:textId="77777777" w:rsidR="00A15113" w:rsidRDefault="00A22A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Eiden Muñoz</w:t>
      </w:r>
    </w:p>
    <w:p w14:paraId="4521FB47" w14:textId="3018AB6E" w:rsidR="00A15113" w:rsidRDefault="00A22A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Matías Rodríguez</w:t>
      </w:r>
    </w:p>
    <w:p w14:paraId="43B1A763" w14:textId="77777777" w:rsidR="00A15113" w:rsidRDefault="00A22A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Isabella Toledo</w:t>
      </w:r>
    </w:p>
    <w:p w14:paraId="116F5D94" w14:textId="77777777" w:rsidR="00A15113" w:rsidRDefault="00A151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65BDB8" w14:textId="77777777" w:rsidR="00A15113" w:rsidRDefault="00A22A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Lesbofeminismos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Psicología comunitaria, Metodologías Participativas, Gestión del Riesgo.</w:t>
      </w:r>
    </w:p>
    <w:p w14:paraId="722C3C91" w14:textId="77777777" w:rsidR="00A15113" w:rsidRDefault="00A151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1C8947" w14:textId="77777777" w:rsidR="00A15113" w:rsidRDefault="00A151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CB3359" w14:textId="77777777" w:rsidR="00A15113" w:rsidRDefault="00A151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7DACE8" w14:textId="77777777" w:rsidR="00A15113" w:rsidRDefault="00A151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5F165F" w14:textId="77777777" w:rsidR="00A15113" w:rsidRDefault="00A1511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EA2F66" w14:textId="77777777" w:rsidR="00A15113" w:rsidRDefault="00A22A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de noviembre, 2020</w:t>
      </w:r>
      <w:r>
        <w:br w:type="page"/>
      </w:r>
    </w:p>
    <w:p w14:paraId="7A2943AD" w14:textId="77777777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Planteamiento del Problema</w:t>
      </w:r>
    </w:p>
    <w:p w14:paraId="1C164C25" w14:textId="77777777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En los últimos años ha tomado fuerza la noción de que los desastres no son naturales, sino más bien, una conjugación dinámica de factores ambientales y sociales que resultan en diferentes expresiones de riesgo para las comunidades. Según Martínez (2020) </w:t>
      </w:r>
    </w:p>
    <w:p w14:paraId="1E73EA81" w14:textId="77777777" w:rsidR="00A15113" w:rsidRDefault="00A22AB5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Las amenazas naturales se vuelven desastres en tanto existan comunidades que, por una parte, no generen estrategias, instrumentos y/o recursos claros y definidos para enfrentar las emergencias y por otra, mientras se sigan desarrollando modos de vida y/o producción que contribuyan a incrementar sus efectos (p. 2)</w:t>
      </w:r>
    </w:p>
    <w:p w14:paraId="5FF82024" w14:textId="77777777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Bajo esta óptica, y desde un modelo de Gestión de Riesgo, aunque la pandemia por coronavirus ocurrida durante el último año ha tenido devastadoras consecuencias a nivel mundial, consideramos que las comunidades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individuxs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poseen recursos para resolver sus propios problemas frente a la crisis (Martínez, 2020).</w:t>
      </w:r>
    </w:p>
    <w:p w14:paraId="4CF5F7A5" w14:textId="0B4289FB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Según </w:t>
      </w:r>
      <w:r w:rsidR="001028AD">
        <w:rPr>
          <w:rFonts w:ascii="Times New Roman" w:eastAsia="Times New Roman" w:hAnsi="Times New Roman" w:cs="Times New Roman"/>
          <w:sz w:val="24"/>
          <w:szCs w:val="24"/>
          <w:highlight w:val="white"/>
        </w:rPr>
        <w:t>Martínez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(2020)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algun</w:t>
      </w:r>
      <w:r w:rsidR="001028AD">
        <w:rPr>
          <w:rFonts w:ascii="Times New Roman" w:eastAsia="Times New Roman" w:hAnsi="Times New Roman" w:cs="Times New Roman"/>
          <w:sz w:val="24"/>
          <w:szCs w:val="24"/>
          <w:highlight w:val="white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sujetxs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son más vulnerables frente a las emergencias y sucesos vitales estresantes; a nuestro juicio, consideramos que existen algunos segmentos de la población que tienen mayor propensión a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vulneradxs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en contexto de emergencia debido a la exclusión, estigmatización y discriminaciones sociales de carácter estructural. A la luz de este modelo, se considera que “la vulnerabilidad psicológica depende de la predisposición y de la biografía de las personas, de su contexto de vida y de los recursos psicosociales con los que cuentan para afrontar adecuada y eficazmente las consecuencias de estas situaciones” (</w:t>
      </w:r>
      <w:r w:rsidR="001028AD">
        <w:rPr>
          <w:rFonts w:ascii="Times New Roman" w:eastAsia="Times New Roman" w:hAnsi="Times New Roman" w:cs="Times New Roman"/>
          <w:sz w:val="24"/>
          <w:szCs w:val="24"/>
          <w:highlight w:val="white"/>
        </w:rPr>
        <w:t>Martínez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2020, p. 7).</w:t>
      </w:r>
    </w:p>
    <w:p w14:paraId="132A445E" w14:textId="0A5E8BCD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Durante las situaciones de emergencia las diversas comunidades activan autónomamente sus capacidades resilientes que les permiten desarrollar mecanismos de autogobierno (Martínez, 2020). Esto proporciona a sus miembros “contención, cuidado, seguridad, confianza, sentidos compartidos; conocimiento, apoyo; resignificación de eventos traumáticos, desarrollo de nuevos vínculos, normalización y reconstrucción de las rutinas propias del mundo de la vida cotidiana” (p. 8), desarrollo de aprendizajes experienciales significativos, entre otros. Por lo anterior, y siguiendo la línea de </w:t>
      </w:r>
      <w:r w:rsidR="001028AD">
        <w:rPr>
          <w:rFonts w:ascii="Times New Roman" w:eastAsia="Times New Roman" w:hAnsi="Times New Roman" w:cs="Times New Roman"/>
          <w:sz w:val="24"/>
          <w:szCs w:val="24"/>
          <w:highlight w:val="white"/>
        </w:rPr>
        <w:t>Martínez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(2020) “es fundamental la participación organizada de la comunidad afectada en todas las fases de la emergencia: la comunidad no puede quedar sin escucha, sin voz y sin acción” (p. 9).</w:t>
      </w:r>
    </w:p>
    <w:p w14:paraId="578D924E" w14:textId="237BB160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El sentido de la participación se enmarca al interior de aspectos políticos y sociales, </w:t>
      </w:r>
      <w:r w:rsidR="001028AD">
        <w:rPr>
          <w:rFonts w:ascii="Times New Roman" w:eastAsia="Times New Roman" w:hAnsi="Times New Roman" w:cs="Times New Roman"/>
          <w:sz w:val="24"/>
          <w:szCs w:val="24"/>
          <w:highlight w:val="white"/>
        </w:rPr>
        <w:t>concibiéndola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así como una actividad necesaria por sus efectos democratizadores sobre la sociedad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Bronfman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Gleizer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1994). De esta manera, la participación comunitaria se convierte en una forma de resolución de problemas que, al ser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autogestiva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brinda a la comunidad autosuficiencia e independencia, generando un mayor nivel de autonomía, organización y conciencia de la comunidad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Bronfman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Gleizer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1994).</w:t>
      </w:r>
    </w:p>
    <w:p w14:paraId="6D32911A" w14:textId="2AC78E77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este contexto, la inclusión de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lesbofeminismos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las practicas disciplinares de la psicología comunitaria se erige como una forma de praxis comunitaria, debido a que comprenden una acción colectiva y participativa que trasciende y se instituye como un ejercicio de recuperación de las memorias</w:t>
      </w:r>
      <w:r w:rsidR="001028A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en su base implica la conformación de un movimiento de liberación de índole comunitaria (Curiel, 2020).</w:t>
      </w:r>
    </w:p>
    <w:p w14:paraId="47F57952" w14:textId="77777777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organización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Diversilientes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parte de una red de activistas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lesbofeministas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disidentes sexuales, migrantes, de pueblos originarios,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 también compañeras/es heterosexuales, que se han organizado en una red comunitaria para apoyar y acompañar a lesbianas y trans que hoy, en tiempos de pandemia y confinamiento social requieren de acompañamiento terapéutico y psicosocial. Con este fin, se han articulado no sólo 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miembres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las comunidades afectadas,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unides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por sus características identitarias y posicionamientos políticos e ideológicos, sino que además, han generado nuevos entramados sociales que han conectado el trabajo de activistas, profesionales,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académiques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y pobladoras.</w:t>
      </w:r>
    </w:p>
    <w:p w14:paraId="2F3C27C4" w14:textId="7828D921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La experiencia de este colectivo</w:t>
      </w:r>
      <w:r>
        <w:rPr>
          <w:rFonts w:ascii="Times New Roman" w:eastAsia="Times New Roman" w:hAnsi="Times New Roman" w:cs="Times New Roman"/>
          <w:sz w:val="24"/>
          <w:szCs w:val="24"/>
        </w:rPr>
        <w:t>, a nuestro juicio, da cuenta de cómo el establecimiento de un vínculo cuyas bases se sientan en la horizontalidad y la validación del conocimiento de</w:t>
      </w:r>
      <w:r w:rsidR="001028AD">
        <w:rPr>
          <w:rFonts w:ascii="Times New Roman" w:eastAsia="Times New Roman" w:hAnsi="Times New Roman" w:cs="Times New Roman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</w:t>
      </w:r>
      <w:r w:rsidR="001028AD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como legítim</w:t>
      </w:r>
      <w:r w:rsidR="001028A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permiten erigir una alianza academia-comunidad que promueve el apoyo mutuo, la superación de la crisis y la emancipación de identidades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subalternizadas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CE500A" w14:textId="00E67EE6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En el marco de la ejecución de un programa comunitario de acompañamiento psicosocial autogestionado por esta red, uno de los principales desafíos, </w:t>
      </w:r>
      <w:r w:rsidR="001028AD"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que responde a la predominancia de estrategias con foco individual realizadas hasta la fecha</w:t>
      </w:r>
      <w:r w:rsidR="001028AD"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consiste en </w:t>
      </w:r>
      <w:r>
        <w:rPr>
          <w:rFonts w:ascii="Times New Roman" w:eastAsia="Times New Roman" w:hAnsi="Times New Roman" w:cs="Times New Roman"/>
          <w:sz w:val="24"/>
          <w:szCs w:val="24"/>
        </w:rPr>
        <w:t>identificar oportunidades de acompañamiento comunitario, y necesidades de sus participantes, que permita generar propuestas de talleres y actividades situados en los intereses de les participantes de esta organización.</w:t>
      </w:r>
    </w:p>
    <w:p w14:paraId="52E14E32" w14:textId="77777777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 General</w:t>
      </w:r>
    </w:p>
    <w:p w14:paraId="2881C7B5" w14:textId="3C6BEA37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Diseñar un taller participativo de enfoque feminista, con foco en el levantamiento de necesidades de acompañamiento psicosocial y estrategias de acción comunitaria en les participantes de la organización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Diversilientes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durante el periodo </w:t>
      </w:r>
      <w:r w:rsidR="00423AD5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pandemia. </w:t>
      </w:r>
    </w:p>
    <w:p w14:paraId="15D721AE" w14:textId="77777777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Metodología</w:t>
      </w:r>
    </w:p>
    <w:p w14:paraId="7933C927" w14:textId="6339BA31" w:rsidR="00A15113" w:rsidRDefault="00A22AB5">
      <w:pPr>
        <w:spacing w:after="20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Tomando en consideración los antecedentes previamente planteados y la necesidad de incluir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lesbofeminismos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el ejercicio comunitario, se diseñó un taller diagnóstico con un enfoque participativo, de acuerdo al requerimiento de la organización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Diversilientes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con el fin de que la organización en cuestión logre realizar un levantamiento de necesidades operativo mediante metodologías participativas feministas. Esta decisión se fundament</w:t>
      </w:r>
      <w:r w:rsidR="00423AD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las epistemologías feministas, las </w:t>
      </w:r>
      <w:r w:rsidR="00423AD5">
        <w:rPr>
          <w:rFonts w:ascii="Times New Roman" w:eastAsia="Times New Roman" w:hAnsi="Times New Roman" w:cs="Times New Roman"/>
          <w:sz w:val="24"/>
          <w:szCs w:val="24"/>
        </w:rPr>
        <w:t>que,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según los postulados de Blázquez, Flores &amp; Ríos (2010), implican poner en tensión los marcos políticos y las estructuras socialmente arraigadas. A su vez, sostienen que, ontológicamente subyace una interpretación de la realidad sustentada en las relaciones de poder, tomando en consideración las condiciones históricas, culturales, políticas, económicas, étnicas y de género que la conforman. </w:t>
      </w:r>
    </w:p>
    <w:p w14:paraId="52B8DF2B" w14:textId="1AFC932D" w:rsidR="00A15113" w:rsidRDefault="00A22AB5">
      <w:pPr>
        <w:spacing w:after="20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la luz de </w:t>
      </w:r>
      <w:r w:rsidR="00423AD5">
        <w:rPr>
          <w:rFonts w:ascii="Times New Roman" w:eastAsia="Times New Roman" w:hAnsi="Times New Roman" w:cs="Times New Roman"/>
          <w:sz w:val="24"/>
          <w:szCs w:val="24"/>
        </w:rPr>
        <w:t>las metodologías participativas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enfatiza el componente participativo de esta intervención, el cual, en este caso, permite generar una mejora en el bienestar del colectivo, a través de la participación desde una perspectiva feminista, que logre generar un empoderamiento y herramientas decoloniales para el cambio social (Gargallo, 2008). </w:t>
      </w:r>
    </w:p>
    <w:p w14:paraId="19565428" w14:textId="623FEEA3" w:rsidR="00A15113" w:rsidRDefault="00A22AB5">
      <w:pPr>
        <w:spacing w:after="20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diseño del taller diagnóstico requirió un diálogo constante entre el saber experto y el saber comunitario, al mismo tiempo que fue modelado por la experiencia activista de las personas que conformaron el equipo de núcleo</w:t>
      </w:r>
      <w:r w:rsidR="00423AD5">
        <w:rPr>
          <w:rFonts w:ascii="Times New Roman" w:eastAsia="Times New Roman" w:hAnsi="Times New Roman" w:cs="Times New Roman"/>
          <w:sz w:val="24"/>
          <w:szCs w:val="24"/>
        </w:rPr>
        <w:t xml:space="preserve"> y los recursos propios de la comunidad para afrontar la crisis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Se realizaron reuniones semanales de reflexión y deliberación dentro del núcleo, además de dos foros con </w:t>
      </w:r>
      <w:r w:rsidR="00423AD5">
        <w:rPr>
          <w:rFonts w:ascii="Times New Roman" w:eastAsia="Times New Roman" w:hAnsi="Times New Roman" w:cs="Times New Roman"/>
          <w:sz w:val="24"/>
          <w:szCs w:val="24"/>
        </w:rPr>
        <w:t xml:space="preserve">la organización aliada </w:t>
      </w:r>
      <w:r>
        <w:rPr>
          <w:rFonts w:ascii="Times New Roman" w:eastAsia="Times New Roman" w:hAnsi="Times New Roman" w:cs="Times New Roman"/>
          <w:sz w:val="24"/>
          <w:szCs w:val="24"/>
        </w:rPr>
        <w:t>para evaluar las estrategias de acción y centros de interés de la intervención. Se utilizaron técnicas diagnósticas a través de datos indirectos, entre ellas registros preexistentes y datos sociodemográficos de la propia comunidad. El levantamiento de datos directo</w:t>
      </w:r>
      <w:r w:rsidR="00423AD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realizó a través de observación y notas de campo de actividades a las cuales se asistió, como por ejemplo asambleas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lesbofeministas</w:t>
      </w:r>
      <w:proofErr w:type="spellEnd"/>
      <w:r w:rsidR="00423AD5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 foros, que consistieron en espacios de organización interna, donde se informó, planificó, y legitimó acciones y otras decisiones; consignando tareas, responsables y plazos.</w:t>
      </w:r>
    </w:p>
    <w:p w14:paraId="1FE74CB6" w14:textId="77777777" w:rsidR="00A15113" w:rsidRDefault="00A22AB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Diseño del Taller</w:t>
      </w:r>
    </w:p>
    <w:p w14:paraId="0776B537" w14:textId="77777777" w:rsidR="00A15113" w:rsidRDefault="00A15113">
      <w:pPr>
        <w:rPr>
          <w:rFonts w:ascii="Times New Roman" w:eastAsia="Times New Roman" w:hAnsi="Times New Roman" w:cs="Times New Roman"/>
          <w:sz w:val="24"/>
          <w:szCs w:val="24"/>
          <w:shd w:val="clear" w:color="auto" w:fill="D9D2E9"/>
        </w:rPr>
      </w:pPr>
    </w:p>
    <w:tbl>
      <w:tblPr>
        <w:tblStyle w:val="a"/>
        <w:tblW w:w="90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1"/>
        <w:gridCol w:w="1005"/>
        <w:gridCol w:w="1575"/>
        <w:gridCol w:w="2614"/>
        <w:gridCol w:w="1183"/>
        <w:gridCol w:w="1560"/>
      </w:tblGrid>
      <w:tr w:rsidR="00A15113" w14:paraId="51D91393" w14:textId="77777777">
        <w:trPr>
          <w:trHeight w:val="55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2C350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Momento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BC714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Objetivos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11D35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Actividades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A7D62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Consigna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8C748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Duración y Responsables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1F536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Materiales Principales</w:t>
            </w:r>
          </w:p>
        </w:tc>
      </w:tr>
      <w:tr w:rsidR="00A15113" w14:paraId="580BFF48" w14:textId="77777777">
        <w:trPr>
          <w:trHeight w:val="525"/>
        </w:trPr>
        <w:tc>
          <w:tcPr>
            <w:tcW w:w="901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D0CB18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Objetivo General: Diagnosticar la necesidad de realizar talleres para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usuarixs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se encuentren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insertxs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 el programa de acompañamiento psicosocial a cargo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Diversilientes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5113" w14:paraId="2CE7090A" w14:textId="77777777">
        <w:trPr>
          <w:trHeight w:val="3135"/>
        </w:trPr>
        <w:tc>
          <w:tcPr>
            <w:tcW w:w="10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D4366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Presentación</w:t>
            </w:r>
          </w:p>
          <w:p w14:paraId="321F7C84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introducción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8B355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Presentar la temática, equipo de trabajo y comunidad participante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4CCD8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-Dinámica de presentación de participantes. </w:t>
            </w:r>
          </w:p>
          <w:p w14:paraId="0F337C2C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-Presentación del objetivo general de la actividad, lineamientos generales y cronograma de la jornada.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F67A5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-A partir vamos a presentarnos, pero de una manera diferente. Como ya conocemos nuestros nombres, dado que aparecen en la parte de debajo de sus pantallas, vamos a trabajar 5 minutos en salas de grupo y deben hablar brevemente de una de sus características principales o gustos y luego en plenario describirse como si fuesen una única persona. Luego de cada presentación grupal la comunidad debe adivinar a qué persona representa cada característica de cada integrante de cada grupo. -Ahora que ya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todes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nos hemos presentado, procederemos a exponer el objetivo de este taller y el cronograma de la jornada.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7FF9B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Responsables: Monitores</w:t>
            </w:r>
          </w:p>
          <w:p w14:paraId="3605AEE8" w14:textId="77777777" w:rsidR="00A15113" w:rsidRDefault="00A151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13CCB5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Duración: 20 minutos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0E7BC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Plataforma Zoom. Objetos disponibles en su casa o en lugar en el que se encuentran. PPT de la presentación de la jornada.</w:t>
            </w:r>
          </w:p>
        </w:tc>
      </w:tr>
      <w:tr w:rsidR="00A15113" w14:paraId="1EB9C24C" w14:textId="77777777">
        <w:trPr>
          <w:trHeight w:val="2100"/>
        </w:trPr>
        <w:tc>
          <w:tcPr>
            <w:tcW w:w="10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29448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Desarrollo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F6B38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Identificar necesidades y temáticas a abordar a través de talleres comunitarios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10DBE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-Dinámica de ordenamiento y priorización de temáticas o problemas a abordar.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C94062" w14:textId="43F38AD3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-A </w:t>
            </w:r>
            <w:r w:rsidR="00423AD5">
              <w:rPr>
                <w:rFonts w:ascii="Times New Roman" w:eastAsia="Times New Roman" w:hAnsi="Times New Roman" w:cs="Times New Roman"/>
                <w:sz w:val="20"/>
                <w:szCs w:val="20"/>
              </w:rPr>
              <w:t>continuación,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utilizaremos un programa que permite que ustedes escriban en post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virtuales los puntos más importantes dentro de los 2 siguientes temas: 1. ¿</w:t>
            </w:r>
            <w:r w:rsidR="00423AD5">
              <w:rPr>
                <w:rFonts w:ascii="Times New Roman" w:eastAsia="Times New Roman" w:hAnsi="Times New Roman" w:cs="Times New Roman"/>
                <w:sz w:val="20"/>
                <w:szCs w:val="20"/>
              </w:rPr>
              <w:t>Cuál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 el problema social más grande respecto a sus necesidades como colectivo? 2. ¿</w:t>
            </w:r>
            <w:r w:rsidR="00423AD5">
              <w:rPr>
                <w:rFonts w:ascii="Times New Roman" w:eastAsia="Times New Roman" w:hAnsi="Times New Roman" w:cs="Times New Roman"/>
                <w:sz w:val="20"/>
                <w:szCs w:val="20"/>
              </w:rPr>
              <w:t>Cuál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es el problema principal que tienen individualmente insertes en un </w:t>
            </w:r>
            <w:r w:rsidR="00423AD5">
              <w:rPr>
                <w:rFonts w:ascii="Times New Roman" w:eastAsia="Times New Roman" w:hAnsi="Times New Roman" w:cs="Times New Roman"/>
                <w:sz w:val="20"/>
                <w:szCs w:val="20"/>
              </w:rPr>
              <w:t>colectivo?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idea es que ustedes escriban una palabra o frase representativa, que después grupalmente se irán explicando y ordenando según prioridades.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7F44D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Responsables: Monitores</w:t>
            </w:r>
          </w:p>
          <w:p w14:paraId="4D23FBD3" w14:textId="77777777" w:rsidR="00A15113" w:rsidRDefault="00A151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809CEC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Duración: 30 minutos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110AD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Acceso a internet y computador. Plataforma Zoom. Página web:</w:t>
            </w:r>
          </w:p>
        </w:tc>
      </w:tr>
      <w:tr w:rsidR="00A15113" w14:paraId="2BD52B1A" w14:textId="77777777" w:rsidTr="00423AD5">
        <w:trPr>
          <w:trHeight w:val="1079"/>
        </w:trPr>
        <w:tc>
          <w:tcPr>
            <w:tcW w:w="10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5FA46A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Desarrollo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3694D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Explorar las posibles metodologías para la implementación de los talleres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B6CF0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-Dinámica de preguntas y respuestas.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F1558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-Ahora la idea es que se puedan reunir aleatoriamente en grupo de X personas (mín. grupos de 3), para discutir y reflexionar en torno a las siguientes preguntas: ¿Como les han hablado de los temas que les interesan?, ¿Cómo les gustaría que les hablaran o aprender? y ¿Que les gustaría saber o profundizar? -Una vez respondidas se presentarán en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plenaria en donde une de les representantes de cada grupo nos relatará sus discusiones y reflexiones.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2A8DC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Responsables: Monitores</w:t>
            </w:r>
          </w:p>
          <w:p w14:paraId="1964DC3C" w14:textId="77777777" w:rsidR="00A15113" w:rsidRDefault="00A151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61BB3E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Duración: 30 minutos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59245F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Acceso a internet y computador. Plataforma Zoom.</w:t>
            </w:r>
          </w:p>
        </w:tc>
      </w:tr>
      <w:tr w:rsidR="00A15113" w14:paraId="32EE46BF" w14:textId="77777777">
        <w:trPr>
          <w:trHeight w:val="1200"/>
        </w:trPr>
        <w:tc>
          <w:tcPr>
            <w:tcW w:w="10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34F13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Cierre y conclusiones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D6272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Cierre de la actividad</w:t>
            </w:r>
          </w:p>
        </w:tc>
        <w:tc>
          <w:tcPr>
            <w:tcW w:w="1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68162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-Momento de conversación y reflexión grupal</w:t>
            </w:r>
          </w:p>
        </w:tc>
        <w:tc>
          <w:tcPr>
            <w:tcW w:w="26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EE81DD" w14:textId="7767BDC8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-Finalmente les solicitamos a 3 personas que hagan un breve resumen de lo que se </w:t>
            </w:r>
            <w:r w:rsidR="00423AD5">
              <w:rPr>
                <w:rFonts w:ascii="Times New Roman" w:eastAsia="Times New Roman" w:hAnsi="Times New Roman" w:cs="Times New Roman"/>
                <w:sz w:val="20"/>
                <w:szCs w:val="20"/>
              </w:rPr>
              <w:t>discutió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 reflexionó durante la jornada, para luego hacer una breve conclusión desde las y los moderadores sobre todo el proceso.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8DF76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Responsables: Monitores</w:t>
            </w:r>
          </w:p>
          <w:p w14:paraId="2DA1AC74" w14:textId="77777777" w:rsidR="00A15113" w:rsidRDefault="00A151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197E9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Duración: 10 minutos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DA134" w14:textId="77777777" w:rsidR="00A15113" w:rsidRDefault="00A22AB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Acceso a internet y computador. Plataforma Zoom.</w:t>
            </w:r>
          </w:p>
        </w:tc>
      </w:tr>
    </w:tbl>
    <w:p w14:paraId="7A1CD4CA" w14:textId="77777777" w:rsidR="00A15113" w:rsidRDefault="00A151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9D2E9"/>
        </w:rPr>
      </w:pPr>
    </w:p>
    <w:p w14:paraId="3F1C4D8F" w14:textId="77777777" w:rsidR="00A15113" w:rsidRDefault="00A1511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BD82A4F" w14:textId="77777777" w:rsidR="00A15113" w:rsidRDefault="00A22AB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Referencias </w:t>
      </w:r>
    </w:p>
    <w:p w14:paraId="6EDBFDDA" w14:textId="77777777" w:rsidR="00A15113" w:rsidRDefault="00A15113">
      <w:pPr>
        <w:spacing w:line="240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08A67648" w14:textId="77777777" w:rsidR="00A15113" w:rsidRDefault="00A22AB5" w:rsidP="00423AD5">
      <w:pPr>
        <w:spacing w:after="200" w:line="24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Blázquez, N., Flores, F., &amp; Ríos, M. (2010). Investigación feminista; Epistemología metodología y representaciones sociales.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Revista Mexicana de Sociología, 77(1).</w:t>
      </w:r>
    </w:p>
    <w:p w14:paraId="751452CA" w14:textId="4C70E993" w:rsidR="00A15113" w:rsidRDefault="00A22AB5" w:rsidP="00423AD5">
      <w:pPr>
        <w:spacing w:after="200" w:line="24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Bronfman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Gleizer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M. (1994). Participación comunitaria: </w:t>
      </w:r>
      <w:r w:rsidR="00423AD5">
        <w:rPr>
          <w:rFonts w:ascii="Times New Roman" w:eastAsia="Times New Roman" w:hAnsi="Times New Roman" w:cs="Times New Roman"/>
          <w:sz w:val="24"/>
          <w:szCs w:val="24"/>
          <w:highlight w:val="white"/>
        </w:rPr>
        <w:t>¿necesidad, excusa o estrategia?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de qué hablamos cuando hablamos de participación comunitaria.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Cadernos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saúde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pública, 10, 111-122.</w:t>
      </w:r>
    </w:p>
    <w:p w14:paraId="27B8F6C9" w14:textId="77777777" w:rsidR="00A15113" w:rsidRDefault="00A22AB5" w:rsidP="00423AD5">
      <w:pPr>
        <w:spacing w:after="20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Curiel, O. (12 de octubre de 2020). Reconstruyendo memoria lésbica, antirracista y anticolonial. Discurso presentado en el Encuentro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Lesbodisidente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América Latina.</w:t>
      </w:r>
    </w:p>
    <w:p w14:paraId="7DE049F8" w14:textId="77777777" w:rsidR="00A15113" w:rsidRDefault="00A22AB5" w:rsidP="00423AD5">
      <w:pPr>
        <w:spacing w:after="20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Gargallo, F. (2008). El feminismo y la educación en y para nuestra América. Revista Venezolana de Estudios de la Mujer, 13(31), 17-26.</w:t>
      </w:r>
    </w:p>
    <w:p w14:paraId="20829DD7" w14:textId="5AB5C706" w:rsidR="00A15113" w:rsidRDefault="00423AD5" w:rsidP="00423AD5">
      <w:pPr>
        <w:spacing w:after="20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Martínez</w:t>
      </w:r>
      <w:r w:rsidR="00A22AB5">
        <w:rPr>
          <w:rFonts w:ascii="Times New Roman" w:eastAsia="Times New Roman" w:hAnsi="Times New Roman" w:cs="Times New Roman"/>
          <w:sz w:val="24"/>
          <w:szCs w:val="24"/>
        </w:rPr>
        <w:t xml:space="preserve">, V. (2020) Salud Mental y Gestión de la Crisis. En V. </w:t>
      </w:r>
      <w:r>
        <w:rPr>
          <w:rFonts w:ascii="Times New Roman" w:eastAsia="Times New Roman" w:hAnsi="Times New Roman" w:cs="Times New Roman"/>
          <w:sz w:val="24"/>
          <w:szCs w:val="24"/>
        </w:rPr>
        <w:t>Martínez</w:t>
      </w:r>
      <w:r w:rsidR="00A22AB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A22AB5">
        <w:rPr>
          <w:rFonts w:ascii="Times New Roman" w:eastAsia="Times New Roman" w:hAnsi="Times New Roman" w:cs="Times New Roman"/>
          <w:sz w:val="24"/>
          <w:szCs w:val="24"/>
        </w:rPr>
        <w:t>comp</w:t>
      </w:r>
      <w:proofErr w:type="spellEnd"/>
      <w:r w:rsidR="00A22AB5">
        <w:rPr>
          <w:rFonts w:ascii="Times New Roman" w:eastAsia="Times New Roman" w:hAnsi="Times New Roman" w:cs="Times New Roman"/>
          <w:sz w:val="24"/>
          <w:szCs w:val="24"/>
        </w:rPr>
        <w:t>). Estrategias de Acción desde un enfoque comunitario 2020. Universidad de Chile.</w:t>
      </w:r>
    </w:p>
    <w:p w14:paraId="2A090E87" w14:textId="77777777" w:rsidR="00D57109" w:rsidRDefault="00D57109" w:rsidP="00D5710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87F165A" w14:textId="6DF0B390" w:rsidR="00D57109" w:rsidRPr="008423B2" w:rsidRDefault="00A22AB5" w:rsidP="00D57109">
      <w:pPr>
        <w:spacing w:line="360" w:lineRule="auto"/>
        <w:jc w:val="both"/>
        <w:rPr>
          <w:sz w:val="24"/>
          <w:szCs w:val="24"/>
          <w:lang w:eastAsia="es-ES"/>
        </w:rPr>
      </w:pPr>
      <w:r w:rsidRPr="008423B2">
        <w:rPr>
          <w:rFonts w:eastAsia="Times New Roman"/>
          <w:sz w:val="24"/>
          <w:szCs w:val="24"/>
          <w:highlight w:val="white"/>
        </w:rPr>
        <w:t xml:space="preserve"> </w:t>
      </w:r>
      <w:r w:rsidR="00D57109" w:rsidRPr="008423B2">
        <w:rPr>
          <w:b/>
          <w:sz w:val="24"/>
          <w:szCs w:val="24"/>
          <w:lang w:eastAsia="es-ES"/>
        </w:rPr>
        <w:t>Comentarios:</w:t>
      </w:r>
      <w:r w:rsidR="00D57109" w:rsidRPr="008423B2">
        <w:rPr>
          <w:rFonts w:eastAsia="Times New Roman"/>
          <w:sz w:val="24"/>
          <w:szCs w:val="24"/>
          <w:lang w:eastAsia="es-ES"/>
        </w:rPr>
        <w:t xml:space="preserve"> El trabajo realizado es pertinente y cumple con los requerimientos. Se observa el uso transversal del enfoque comunitario y su diálogo con una perspectiva feminista. Con respecto a la consideración del formato, el trabajo excede el número de páginas solicitado.</w:t>
      </w:r>
    </w:p>
    <w:p w14:paraId="7E895535" w14:textId="77777777" w:rsidR="00D57109" w:rsidRPr="008423B2" w:rsidRDefault="00D57109" w:rsidP="00D57109">
      <w:pPr>
        <w:spacing w:line="240" w:lineRule="auto"/>
        <w:jc w:val="both"/>
        <w:rPr>
          <w:sz w:val="24"/>
          <w:szCs w:val="24"/>
          <w:lang w:eastAsia="es-ES"/>
        </w:rPr>
      </w:pPr>
    </w:p>
    <w:p w14:paraId="4DEE0690" w14:textId="5FAC0FE2" w:rsidR="00A15113" w:rsidRPr="008423B2" w:rsidRDefault="008423B2" w:rsidP="00D57109">
      <w:pPr>
        <w:spacing w:before="240" w:after="240" w:line="240" w:lineRule="auto"/>
        <w:jc w:val="both"/>
        <w:rPr>
          <w:rFonts w:eastAsia="Times New Roman"/>
          <w:sz w:val="24"/>
          <w:szCs w:val="24"/>
          <w:highlight w:val="white"/>
        </w:rPr>
      </w:pPr>
      <w:r w:rsidRPr="008423B2">
        <w:rPr>
          <w:rFonts w:eastAsia="Times New Roman"/>
          <w:b/>
          <w:sz w:val="24"/>
          <w:szCs w:val="24"/>
          <w:highlight w:val="white"/>
        </w:rPr>
        <w:t>No</w:t>
      </w:r>
      <w:bookmarkStart w:id="0" w:name="_GoBack"/>
      <w:bookmarkEnd w:id="0"/>
      <w:r w:rsidRPr="008423B2">
        <w:rPr>
          <w:rFonts w:eastAsia="Times New Roman"/>
          <w:b/>
          <w:sz w:val="24"/>
          <w:szCs w:val="24"/>
          <w:highlight w:val="white"/>
        </w:rPr>
        <w:t>ta:</w:t>
      </w:r>
      <w:r w:rsidRPr="008423B2">
        <w:rPr>
          <w:rFonts w:eastAsia="Times New Roman"/>
          <w:sz w:val="24"/>
          <w:szCs w:val="24"/>
          <w:highlight w:val="white"/>
        </w:rPr>
        <w:t xml:space="preserve"> 7</w:t>
      </w:r>
      <w:r>
        <w:rPr>
          <w:rFonts w:eastAsia="Times New Roman"/>
          <w:sz w:val="24"/>
          <w:szCs w:val="24"/>
          <w:highlight w:val="white"/>
        </w:rPr>
        <w:t>,0</w:t>
      </w:r>
    </w:p>
    <w:tbl>
      <w:tblPr>
        <w:tblStyle w:val="Tablaconcuadrcula"/>
        <w:tblpPr w:leftFromText="141" w:rightFromText="141" w:vertAnchor="text" w:horzAnchor="margin" w:tblpY="372"/>
        <w:tblW w:w="8500" w:type="dxa"/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1701"/>
      </w:tblGrid>
      <w:tr w:rsidR="00D57109" w:rsidRPr="00F842B8" w14:paraId="1E102ED1" w14:textId="77777777" w:rsidTr="00EF5D77">
        <w:tc>
          <w:tcPr>
            <w:tcW w:w="3114" w:type="dxa"/>
            <w:tcBorders>
              <w:left w:val="single" w:sz="4" w:space="0" w:color="auto"/>
            </w:tcBorders>
          </w:tcPr>
          <w:p w14:paraId="7E1824A8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Categorías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434E44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Aprobado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41E960A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Aprobado con comentarios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46EE9E8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Reprobado</w:t>
            </w:r>
          </w:p>
        </w:tc>
      </w:tr>
      <w:tr w:rsidR="00D57109" w:rsidRPr="00F842B8" w14:paraId="64BE0AD8" w14:textId="77777777" w:rsidTr="00EF5D77">
        <w:tc>
          <w:tcPr>
            <w:tcW w:w="8500" w:type="dxa"/>
            <w:gridSpan w:val="4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6DE0D0FA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Coherencia</w:t>
            </w:r>
          </w:p>
        </w:tc>
      </w:tr>
      <w:tr w:rsidR="00D57109" w:rsidRPr="00F842B8" w14:paraId="7425E086" w14:textId="77777777" w:rsidTr="00EF5D77">
        <w:trPr>
          <w:trHeight w:val="690"/>
        </w:trPr>
        <w:tc>
          <w:tcPr>
            <w:tcW w:w="3114" w:type="dxa"/>
            <w:tcBorders>
              <w:left w:val="single" w:sz="4" w:space="0" w:color="auto"/>
            </w:tcBorders>
          </w:tcPr>
          <w:p w14:paraId="69B2DC67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b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lastRenderedPageBreak/>
              <w:t>Integración del saber experto abordado en clase.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00"/>
          </w:tcPr>
          <w:p w14:paraId="0DBE56C1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617F6A">
              <w:rPr>
                <w:rFonts w:ascii="Arial" w:eastAsia="Calibri" w:hAnsi="Arial" w:cs="Arial"/>
                <w:color w:val="000000"/>
                <w:highlight w:val="yellow"/>
                <w:lang w:eastAsia="es-ES"/>
              </w:rPr>
              <w:t>Integra los elementos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A12DCD7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Integra medianamente los elementos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AEFCD3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No logra integrar los elementos</w:t>
            </w:r>
          </w:p>
        </w:tc>
      </w:tr>
      <w:tr w:rsidR="00D57109" w:rsidRPr="00F842B8" w14:paraId="10A03CDC" w14:textId="77777777" w:rsidTr="00EF5D77">
        <w:trPr>
          <w:trHeight w:val="450"/>
        </w:trPr>
        <w:tc>
          <w:tcPr>
            <w:tcW w:w="3114" w:type="dxa"/>
            <w:tcBorders>
              <w:left w:val="single" w:sz="4" w:space="0" w:color="auto"/>
            </w:tcBorders>
          </w:tcPr>
          <w:p w14:paraId="6C236585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 xml:space="preserve">Incorporación del saber comunitario.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00"/>
          </w:tcPr>
          <w:p w14:paraId="24FA8E70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617F6A">
              <w:rPr>
                <w:rFonts w:ascii="Arial" w:eastAsia="Calibri" w:hAnsi="Arial" w:cs="Arial"/>
                <w:color w:val="000000"/>
                <w:highlight w:val="yellow"/>
                <w:lang w:eastAsia="es-ES"/>
              </w:rPr>
              <w:t>Incorpora el saber comunitario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B37208D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Incorpora medianamente el saber comunitario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E88E19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No incorpora el saber comunitario</w:t>
            </w:r>
          </w:p>
        </w:tc>
      </w:tr>
      <w:tr w:rsidR="00D57109" w:rsidRPr="00F842B8" w14:paraId="3D17BC21" w14:textId="77777777" w:rsidTr="00EF5D77">
        <w:trPr>
          <w:trHeight w:val="401"/>
        </w:trPr>
        <w:tc>
          <w:tcPr>
            <w:tcW w:w="3114" w:type="dxa"/>
            <w:tcBorders>
              <w:left w:val="single" w:sz="4" w:space="0" w:color="auto"/>
            </w:tcBorders>
          </w:tcPr>
          <w:p w14:paraId="6E4B8D59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Dialogo entre el saber comunitario y el saber experto.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00"/>
          </w:tcPr>
          <w:p w14:paraId="637A8FD5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>
              <w:rPr>
                <w:rFonts w:ascii="Arial" w:eastAsia="Calibri" w:hAnsi="Arial" w:cs="Arial"/>
                <w:color w:val="000000"/>
                <w:highlight w:val="yellow"/>
                <w:lang w:eastAsia="es-ES"/>
              </w:rPr>
              <w:t>Existe diá</w:t>
            </w:r>
            <w:r w:rsidRPr="00617F6A">
              <w:rPr>
                <w:rFonts w:ascii="Arial" w:eastAsia="Calibri" w:hAnsi="Arial" w:cs="Arial"/>
                <w:color w:val="000000"/>
                <w:highlight w:val="yellow"/>
                <w:lang w:eastAsia="es-ES"/>
              </w:rPr>
              <w:t>logo entre saberes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FECCBFF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Existe medianamente dialogo entre saberes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5AEBDF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No existe dialogo entre saberes</w:t>
            </w:r>
          </w:p>
        </w:tc>
      </w:tr>
      <w:tr w:rsidR="00D57109" w:rsidRPr="00F842B8" w14:paraId="5420299D" w14:textId="77777777" w:rsidTr="00EF5D77">
        <w:trPr>
          <w:trHeight w:val="401"/>
        </w:trPr>
        <w:tc>
          <w:tcPr>
            <w:tcW w:w="8500" w:type="dxa"/>
            <w:gridSpan w:val="4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529909F7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 xml:space="preserve">Desarrollo (Diseño o Ejecución) </w:t>
            </w:r>
          </w:p>
        </w:tc>
      </w:tr>
      <w:tr w:rsidR="00D57109" w:rsidRPr="00F842B8" w14:paraId="6D8E2943" w14:textId="77777777" w:rsidTr="00D57109">
        <w:trPr>
          <w:trHeight w:val="405"/>
        </w:trPr>
        <w:tc>
          <w:tcPr>
            <w:tcW w:w="3114" w:type="dxa"/>
          </w:tcPr>
          <w:p w14:paraId="70E9408D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 xml:space="preserve">Pertinencia del desarrollo del trabajo realizado </w:t>
            </w:r>
          </w:p>
        </w:tc>
        <w:tc>
          <w:tcPr>
            <w:tcW w:w="1843" w:type="dxa"/>
            <w:shd w:val="clear" w:color="auto" w:fill="FFFF00"/>
          </w:tcPr>
          <w:p w14:paraId="3F5E5D3B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617F6A">
              <w:rPr>
                <w:rFonts w:ascii="Arial" w:eastAsia="Calibri" w:hAnsi="Arial" w:cs="Arial"/>
                <w:color w:val="000000"/>
                <w:highlight w:val="yellow"/>
                <w:lang w:eastAsia="es-ES"/>
              </w:rPr>
              <w:t>E</w:t>
            </w:r>
            <w:r w:rsidRPr="00617F6A">
              <w:rPr>
                <w:rFonts w:ascii="Arial" w:eastAsia="Calibri" w:hAnsi="Arial" w:cs="Arial"/>
                <w:color w:val="000000"/>
                <w:highlight w:val="yellow"/>
                <w:shd w:val="clear" w:color="auto" w:fill="FFFF00"/>
                <w:lang w:eastAsia="es-ES"/>
              </w:rPr>
              <w:t>l desarrollo es pertinente a los requerimientos del ensayo</w:t>
            </w:r>
          </w:p>
        </w:tc>
        <w:tc>
          <w:tcPr>
            <w:tcW w:w="1842" w:type="dxa"/>
          </w:tcPr>
          <w:p w14:paraId="222B6B97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El desarrollo es medianamente pertinente a los requerimientos del ensayo</w:t>
            </w:r>
          </w:p>
        </w:tc>
        <w:tc>
          <w:tcPr>
            <w:tcW w:w="1701" w:type="dxa"/>
          </w:tcPr>
          <w:p w14:paraId="76CB3A72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El desarrollo no es pertinente a los requerimientos del ensayo</w:t>
            </w:r>
          </w:p>
        </w:tc>
      </w:tr>
      <w:tr w:rsidR="00D57109" w:rsidRPr="00F842B8" w14:paraId="009EE9F7" w14:textId="77777777" w:rsidTr="00EF5D77">
        <w:trPr>
          <w:trHeight w:val="405"/>
        </w:trPr>
        <w:tc>
          <w:tcPr>
            <w:tcW w:w="3114" w:type="dxa"/>
          </w:tcPr>
          <w:p w14:paraId="01D1E74E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Incorporación de posicionamiento grupal</w:t>
            </w:r>
          </w:p>
        </w:tc>
        <w:tc>
          <w:tcPr>
            <w:tcW w:w="1843" w:type="dxa"/>
            <w:shd w:val="clear" w:color="auto" w:fill="FFFF00"/>
          </w:tcPr>
          <w:p w14:paraId="6CA34777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617F6A">
              <w:rPr>
                <w:rFonts w:ascii="Arial" w:eastAsia="Calibri" w:hAnsi="Arial" w:cs="Arial"/>
                <w:color w:val="000000"/>
                <w:highlight w:val="yellow"/>
                <w:lang w:eastAsia="es-ES"/>
              </w:rPr>
              <w:t>Incorpora posicionamiento grupal</w:t>
            </w:r>
          </w:p>
        </w:tc>
        <w:tc>
          <w:tcPr>
            <w:tcW w:w="1842" w:type="dxa"/>
          </w:tcPr>
          <w:p w14:paraId="4EF99FE9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Incorpora medianamente posicionamiento grupal</w:t>
            </w:r>
          </w:p>
        </w:tc>
        <w:tc>
          <w:tcPr>
            <w:tcW w:w="1701" w:type="dxa"/>
          </w:tcPr>
          <w:p w14:paraId="59788BFA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No incorpora posicionamiento grupal</w:t>
            </w:r>
          </w:p>
        </w:tc>
      </w:tr>
      <w:tr w:rsidR="00D57109" w:rsidRPr="00F842B8" w14:paraId="3951CB48" w14:textId="77777777" w:rsidTr="00EF5D77">
        <w:trPr>
          <w:trHeight w:val="818"/>
        </w:trPr>
        <w:tc>
          <w:tcPr>
            <w:tcW w:w="3114" w:type="dxa"/>
          </w:tcPr>
          <w:p w14:paraId="6B824AAC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 xml:space="preserve">Uso pertinente del enfoque comunitario y sus modelos operativos. </w:t>
            </w:r>
          </w:p>
        </w:tc>
        <w:tc>
          <w:tcPr>
            <w:tcW w:w="1843" w:type="dxa"/>
            <w:shd w:val="clear" w:color="auto" w:fill="FFFF00"/>
          </w:tcPr>
          <w:p w14:paraId="00778D32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highlight w:val="yellow"/>
                <w:lang w:eastAsia="es-ES"/>
              </w:rPr>
            </w:pPr>
            <w:r w:rsidRPr="00617F6A">
              <w:rPr>
                <w:rFonts w:ascii="Arial" w:eastAsia="Calibri" w:hAnsi="Arial" w:cs="Arial"/>
                <w:color w:val="000000"/>
                <w:highlight w:val="yellow"/>
                <w:lang w:eastAsia="es-ES"/>
              </w:rPr>
              <w:t>Uso pertinente del enfoque pertinente</w:t>
            </w:r>
          </w:p>
        </w:tc>
        <w:tc>
          <w:tcPr>
            <w:tcW w:w="1842" w:type="dxa"/>
            <w:shd w:val="clear" w:color="auto" w:fill="FFFFFF" w:themeFill="background1"/>
          </w:tcPr>
          <w:p w14:paraId="0570549D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highlight w:val="yellow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Uso medianamente pertinente del enfoque</w:t>
            </w:r>
          </w:p>
        </w:tc>
        <w:tc>
          <w:tcPr>
            <w:tcW w:w="1701" w:type="dxa"/>
            <w:shd w:val="clear" w:color="auto" w:fill="FFFFFF" w:themeFill="background1"/>
          </w:tcPr>
          <w:p w14:paraId="416ACD46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highlight w:val="yellow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Uso no pertinente</w:t>
            </w:r>
          </w:p>
        </w:tc>
      </w:tr>
      <w:tr w:rsidR="00D57109" w:rsidRPr="00F842B8" w14:paraId="4E2101A9" w14:textId="77777777" w:rsidTr="00EF5D77">
        <w:tc>
          <w:tcPr>
            <w:tcW w:w="8500" w:type="dxa"/>
            <w:gridSpan w:val="4"/>
            <w:shd w:val="clear" w:color="auto" w:fill="CCC0D9" w:themeFill="accent4" w:themeFillTint="66"/>
          </w:tcPr>
          <w:p w14:paraId="11F06360" w14:textId="77777777" w:rsidR="00D57109" w:rsidRPr="00F842B8" w:rsidRDefault="00D57109" w:rsidP="00EF5D77">
            <w:pPr>
              <w:spacing w:before="120" w:after="120"/>
              <w:rPr>
                <w:rFonts w:ascii="Arial" w:eastAsia="Calibri" w:hAnsi="Arial" w:cs="Arial"/>
                <w:color w:val="000000"/>
                <w:lang w:eastAsia="es-ES"/>
              </w:rPr>
            </w:pPr>
            <w:r w:rsidRPr="00F842B8">
              <w:rPr>
                <w:rFonts w:ascii="Arial" w:eastAsia="Calibri" w:hAnsi="Arial" w:cs="Arial"/>
                <w:color w:val="000000"/>
                <w:lang w:eastAsia="es-ES"/>
              </w:rPr>
              <w:t>Aspectos formales</w:t>
            </w:r>
          </w:p>
        </w:tc>
      </w:tr>
      <w:tr w:rsidR="00D57109" w:rsidRPr="00F842B8" w14:paraId="469EA3EC" w14:textId="77777777" w:rsidTr="00EF5D77">
        <w:trPr>
          <w:trHeight w:val="360"/>
        </w:trPr>
        <w:tc>
          <w:tcPr>
            <w:tcW w:w="3114" w:type="dxa"/>
          </w:tcPr>
          <w:p w14:paraId="63499B8A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42B8">
              <w:rPr>
                <w:rFonts w:ascii="Arial" w:hAnsi="Arial" w:cs="Arial"/>
              </w:rPr>
              <w:t>Capacidad de síntesis</w:t>
            </w:r>
          </w:p>
        </w:tc>
        <w:tc>
          <w:tcPr>
            <w:tcW w:w="1843" w:type="dxa"/>
            <w:shd w:val="clear" w:color="auto" w:fill="FFFF00"/>
          </w:tcPr>
          <w:p w14:paraId="19E0F399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7F6A">
              <w:rPr>
                <w:rFonts w:ascii="Arial" w:hAnsi="Arial" w:cs="Arial"/>
                <w:highlight w:val="yellow"/>
              </w:rPr>
              <w:t>Cumple con los requisitos</w:t>
            </w:r>
          </w:p>
        </w:tc>
        <w:tc>
          <w:tcPr>
            <w:tcW w:w="1842" w:type="dxa"/>
          </w:tcPr>
          <w:p w14:paraId="65EDEEB9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EC2D9C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42B8">
              <w:rPr>
                <w:rFonts w:ascii="Arial" w:hAnsi="Arial" w:cs="Arial"/>
              </w:rPr>
              <w:t>No cumple con los requisitos</w:t>
            </w:r>
          </w:p>
        </w:tc>
      </w:tr>
      <w:tr w:rsidR="00D57109" w:rsidRPr="00F842B8" w14:paraId="3545A489" w14:textId="77777777" w:rsidTr="00EF5D77">
        <w:trPr>
          <w:trHeight w:val="371"/>
        </w:trPr>
        <w:tc>
          <w:tcPr>
            <w:tcW w:w="3114" w:type="dxa"/>
          </w:tcPr>
          <w:p w14:paraId="4F035E17" w14:textId="77777777" w:rsidR="00D57109" w:rsidRPr="00F842B8" w:rsidRDefault="00D57109" w:rsidP="00EF5D77">
            <w:pPr>
              <w:spacing w:before="120" w:after="120"/>
              <w:rPr>
                <w:rFonts w:ascii="Arial" w:hAnsi="Arial" w:cs="Arial"/>
              </w:rPr>
            </w:pPr>
            <w:r w:rsidRPr="00F842B8">
              <w:rPr>
                <w:rFonts w:ascii="Arial" w:hAnsi="Arial" w:cs="Arial"/>
              </w:rPr>
              <w:t>Claridad en la exposición</w:t>
            </w:r>
          </w:p>
        </w:tc>
        <w:tc>
          <w:tcPr>
            <w:tcW w:w="1843" w:type="dxa"/>
            <w:shd w:val="clear" w:color="auto" w:fill="FFFF00"/>
          </w:tcPr>
          <w:p w14:paraId="4F3D6B86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7F6A">
              <w:rPr>
                <w:rFonts w:ascii="Arial" w:hAnsi="Arial" w:cs="Arial"/>
                <w:highlight w:val="yellow"/>
              </w:rPr>
              <w:t>Es claro</w:t>
            </w:r>
          </w:p>
        </w:tc>
        <w:tc>
          <w:tcPr>
            <w:tcW w:w="1842" w:type="dxa"/>
          </w:tcPr>
          <w:p w14:paraId="0252E55A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42B8">
              <w:rPr>
                <w:rFonts w:ascii="Arial" w:hAnsi="Arial" w:cs="Arial"/>
              </w:rPr>
              <w:t xml:space="preserve">Falta claridad </w:t>
            </w:r>
          </w:p>
        </w:tc>
        <w:tc>
          <w:tcPr>
            <w:tcW w:w="1701" w:type="dxa"/>
          </w:tcPr>
          <w:p w14:paraId="41354FDD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42B8">
              <w:rPr>
                <w:rFonts w:ascii="Arial" w:hAnsi="Arial" w:cs="Arial"/>
              </w:rPr>
              <w:t xml:space="preserve">No es claro. </w:t>
            </w:r>
          </w:p>
        </w:tc>
      </w:tr>
      <w:tr w:rsidR="00D57109" w:rsidRPr="00F842B8" w14:paraId="580233AF" w14:textId="77777777" w:rsidTr="00EF5D77">
        <w:trPr>
          <w:trHeight w:val="451"/>
        </w:trPr>
        <w:tc>
          <w:tcPr>
            <w:tcW w:w="3114" w:type="dxa"/>
          </w:tcPr>
          <w:p w14:paraId="4BC5DEAE" w14:textId="77777777" w:rsidR="00D57109" w:rsidRPr="00F842B8" w:rsidRDefault="00D57109" w:rsidP="00EF5D77">
            <w:pPr>
              <w:spacing w:before="120" w:after="120"/>
              <w:rPr>
                <w:rFonts w:ascii="Arial" w:hAnsi="Arial" w:cs="Arial"/>
              </w:rPr>
            </w:pPr>
            <w:r w:rsidRPr="00F842B8">
              <w:rPr>
                <w:rFonts w:ascii="Arial" w:hAnsi="Arial" w:cs="Arial"/>
              </w:rPr>
              <w:t>Consideración del formato</w:t>
            </w:r>
          </w:p>
        </w:tc>
        <w:tc>
          <w:tcPr>
            <w:tcW w:w="1843" w:type="dxa"/>
          </w:tcPr>
          <w:p w14:paraId="00FC9AEC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7F6A">
              <w:rPr>
                <w:rFonts w:ascii="Arial" w:hAnsi="Arial" w:cs="Arial"/>
              </w:rPr>
              <w:t>Cumple con los requisitos</w:t>
            </w:r>
          </w:p>
        </w:tc>
        <w:tc>
          <w:tcPr>
            <w:tcW w:w="1842" w:type="dxa"/>
          </w:tcPr>
          <w:p w14:paraId="75CFFDD0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00"/>
          </w:tcPr>
          <w:p w14:paraId="4749099A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42B8">
              <w:rPr>
                <w:rFonts w:ascii="Arial" w:hAnsi="Arial" w:cs="Arial"/>
              </w:rPr>
              <w:t>No cumple con los requisitos</w:t>
            </w:r>
          </w:p>
        </w:tc>
      </w:tr>
      <w:tr w:rsidR="00D57109" w:rsidRPr="00F842B8" w14:paraId="6719B7F6" w14:textId="77777777" w:rsidTr="00EF5D77">
        <w:trPr>
          <w:trHeight w:val="451"/>
        </w:trPr>
        <w:tc>
          <w:tcPr>
            <w:tcW w:w="3114" w:type="dxa"/>
          </w:tcPr>
          <w:p w14:paraId="67859923" w14:textId="77777777" w:rsidR="00D57109" w:rsidRPr="00F842B8" w:rsidRDefault="00D57109" w:rsidP="00EF5D77">
            <w:pPr>
              <w:spacing w:before="120" w:after="120"/>
              <w:rPr>
                <w:rFonts w:ascii="Arial" w:hAnsi="Arial" w:cs="Arial"/>
              </w:rPr>
            </w:pPr>
            <w:r w:rsidRPr="00F842B8">
              <w:rPr>
                <w:rFonts w:ascii="Arial" w:hAnsi="Arial" w:cs="Arial"/>
              </w:rPr>
              <w:t xml:space="preserve">Redacción </w:t>
            </w:r>
          </w:p>
        </w:tc>
        <w:tc>
          <w:tcPr>
            <w:tcW w:w="1843" w:type="dxa"/>
            <w:shd w:val="clear" w:color="auto" w:fill="FFFF00"/>
          </w:tcPr>
          <w:p w14:paraId="0B50C862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42B8">
              <w:rPr>
                <w:rFonts w:ascii="Arial" w:hAnsi="Arial" w:cs="Arial"/>
              </w:rPr>
              <w:t>La redacción es apropiada.</w:t>
            </w:r>
          </w:p>
        </w:tc>
        <w:tc>
          <w:tcPr>
            <w:tcW w:w="1842" w:type="dxa"/>
          </w:tcPr>
          <w:p w14:paraId="352403F6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42B8">
              <w:rPr>
                <w:rFonts w:ascii="Arial" w:hAnsi="Arial" w:cs="Arial"/>
              </w:rPr>
              <w:t>La redacción es medianamente apropiada</w:t>
            </w:r>
          </w:p>
        </w:tc>
        <w:tc>
          <w:tcPr>
            <w:tcW w:w="1701" w:type="dxa"/>
          </w:tcPr>
          <w:p w14:paraId="41B8BC39" w14:textId="77777777" w:rsidR="00D57109" w:rsidRPr="00F842B8" w:rsidRDefault="00D57109" w:rsidP="00EF5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842B8">
              <w:rPr>
                <w:rFonts w:ascii="Arial" w:hAnsi="Arial" w:cs="Arial"/>
              </w:rPr>
              <w:t>La redacción no es apropiada.</w:t>
            </w:r>
          </w:p>
        </w:tc>
      </w:tr>
    </w:tbl>
    <w:p w14:paraId="3F7EAAC3" w14:textId="77777777" w:rsidR="00A15113" w:rsidRDefault="00A151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A1511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13"/>
    <w:rsid w:val="001028AD"/>
    <w:rsid w:val="00423AD5"/>
    <w:rsid w:val="008423B2"/>
    <w:rsid w:val="00A15113"/>
    <w:rsid w:val="00A22AB5"/>
    <w:rsid w:val="00D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C011"/>
  <w15:docId w15:val="{8E77232C-AAC9-4232-B0F3-16BD6CA4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D57109"/>
    <w:pPr>
      <w:spacing w:line="240" w:lineRule="auto"/>
    </w:pPr>
    <w:rPr>
      <w:rFonts w:asciiTheme="minorHAnsi" w:eastAsiaTheme="minorHAnsi" w:hAnsiTheme="minorHAnsi" w:cstheme="minorBid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2084</Words>
  <Characters>11468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Belén Tapia De la Fuente</cp:lastModifiedBy>
  <cp:revision>4</cp:revision>
  <dcterms:created xsi:type="dcterms:W3CDTF">2020-11-21T01:04:00Z</dcterms:created>
  <dcterms:modified xsi:type="dcterms:W3CDTF">2020-11-24T15:26:00Z</dcterms:modified>
</cp:coreProperties>
</file>