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C50F5" w14:textId="77777777" w:rsidR="00B57A66" w:rsidRDefault="00B57A66">
      <w:pPr>
        <w:spacing w:line="240" w:lineRule="auto"/>
        <w:jc w:val="both"/>
        <w:rPr>
          <w:sz w:val="24"/>
          <w:szCs w:val="24"/>
        </w:rPr>
      </w:pPr>
    </w:p>
    <w:p w14:paraId="48EA8A70" w14:textId="77777777" w:rsidR="00B57A66" w:rsidRDefault="00B57A66">
      <w:pPr>
        <w:spacing w:line="240" w:lineRule="auto"/>
        <w:ind w:firstLine="720"/>
        <w:jc w:val="both"/>
        <w:rPr>
          <w:sz w:val="24"/>
          <w:szCs w:val="24"/>
        </w:rPr>
      </w:pPr>
    </w:p>
    <w:p w14:paraId="68CDD6CF" w14:textId="77777777" w:rsidR="00B57A66" w:rsidRDefault="00773E2D">
      <w:r>
        <w:rPr>
          <w:noProof/>
          <w:lang w:val="es-ES" w:eastAsia="es-ES"/>
        </w:rPr>
        <w:drawing>
          <wp:inline distT="114300" distB="114300" distL="114300" distR="114300" wp14:anchorId="5BA853D9" wp14:editId="1D943EE9">
            <wp:extent cx="771525" cy="1838325"/>
            <wp:effectExtent l="0" t="0" r="952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71763" cy="1838891"/>
                    </a:xfrm>
                    <a:prstGeom prst="rect">
                      <a:avLst/>
                    </a:prstGeom>
                    <a:ln/>
                  </pic:spPr>
                </pic:pic>
              </a:graphicData>
            </a:graphic>
          </wp:inline>
        </w:drawing>
      </w:r>
    </w:p>
    <w:p w14:paraId="3BB6A129" w14:textId="77777777" w:rsidR="00B57A66" w:rsidRDefault="00B57A66"/>
    <w:p w14:paraId="68517331" w14:textId="77777777" w:rsidR="00B57A66" w:rsidRDefault="00773E2D">
      <w:pPr>
        <w:spacing w:line="240" w:lineRule="auto"/>
        <w:rPr>
          <w:sz w:val="24"/>
          <w:szCs w:val="24"/>
        </w:rPr>
      </w:pPr>
      <w:r>
        <w:rPr>
          <w:sz w:val="24"/>
          <w:szCs w:val="24"/>
        </w:rPr>
        <w:t>Universidad de Chile</w:t>
      </w:r>
    </w:p>
    <w:p w14:paraId="17BCFBB7" w14:textId="77777777" w:rsidR="00B57A66" w:rsidRDefault="00773E2D">
      <w:pPr>
        <w:spacing w:line="240" w:lineRule="auto"/>
        <w:rPr>
          <w:sz w:val="24"/>
          <w:szCs w:val="24"/>
        </w:rPr>
      </w:pPr>
      <w:r>
        <w:rPr>
          <w:sz w:val="24"/>
          <w:szCs w:val="24"/>
        </w:rPr>
        <w:t>Facultad de Ciencias Sociales</w:t>
      </w:r>
    </w:p>
    <w:p w14:paraId="481157F3" w14:textId="77777777" w:rsidR="00B57A66" w:rsidRDefault="00773E2D">
      <w:pPr>
        <w:spacing w:line="240" w:lineRule="auto"/>
        <w:rPr>
          <w:sz w:val="24"/>
          <w:szCs w:val="24"/>
        </w:rPr>
      </w:pPr>
      <w:r>
        <w:rPr>
          <w:sz w:val="24"/>
          <w:szCs w:val="24"/>
        </w:rPr>
        <w:t>Departamento de Psicología</w:t>
      </w:r>
    </w:p>
    <w:p w14:paraId="5C67CF28" w14:textId="77777777" w:rsidR="00B57A66" w:rsidRDefault="00773E2D">
      <w:pPr>
        <w:spacing w:line="240" w:lineRule="auto"/>
        <w:rPr>
          <w:sz w:val="24"/>
          <w:szCs w:val="24"/>
        </w:rPr>
      </w:pPr>
      <w:r>
        <w:rPr>
          <w:sz w:val="24"/>
          <w:szCs w:val="24"/>
        </w:rPr>
        <w:t>Diplomado de Psicología Comunitaria</w:t>
      </w:r>
    </w:p>
    <w:p w14:paraId="15830F1F" w14:textId="77777777" w:rsidR="00B57A66" w:rsidRDefault="00773E2D">
      <w:pPr>
        <w:spacing w:line="240" w:lineRule="auto"/>
        <w:rPr>
          <w:sz w:val="24"/>
          <w:szCs w:val="24"/>
        </w:rPr>
      </w:pPr>
      <w:r>
        <w:rPr>
          <w:sz w:val="24"/>
          <w:szCs w:val="24"/>
        </w:rPr>
        <w:t>Estrategias de Acción desde un Enfoque Comunitario</w:t>
      </w:r>
    </w:p>
    <w:p w14:paraId="5FE7C6B7" w14:textId="77777777" w:rsidR="00B57A66" w:rsidRDefault="00B57A66">
      <w:pPr>
        <w:spacing w:line="240" w:lineRule="auto"/>
        <w:rPr>
          <w:sz w:val="24"/>
          <w:szCs w:val="24"/>
        </w:rPr>
      </w:pPr>
    </w:p>
    <w:p w14:paraId="59BF4BFF" w14:textId="77777777" w:rsidR="00B57A66" w:rsidRDefault="00B57A66">
      <w:pPr>
        <w:spacing w:line="240" w:lineRule="auto"/>
        <w:rPr>
          <w:sz w:val="24"/>
          <w:szCs w:val="24"/>
        </w:rPr>
      </w:pPr>
    </w:p>
    <w:p w14:paraId="1AD35699" w14:textId="77777777" w:rsidR="00B57A66" w:rsidRDefault="00B57A66">
      <w:pPr>
        <w:spacing w:line="240" w:lineRule="auto"/>
        <w:rPr>
          <w:sz w:val="24"/>
          <w:szCs w:val="24"/>
        </w:rPr>
      </w:pPr>
    </w:p>
    <w:p w14:paraId="38ADE0B5" w14:textId="77777777" w:rsidR="00B57A66" w:rsidRDefault="00B57A66">
      <w:pPr>
        <w:spacing w:line="240" w:lineRule="auto"/>
        <w:rPr>
          <w:sz w:val="24"/>
          <w:szCs w:val="24"/>
        </w:rPr>
      </w:pPr>
    </w:p>
    <w:p w14:paraId="01925148" w14:textId="77777777" w:rsidR="00B57A66" w:rsidRDefault="00B57A66">
      <w:pPr>
        <w:spacing w:line="240" w:lineRule="auto"/>
        <w:rPr>
          <w:sz w:val="24"/>
          <w:szCs w:val="24"/>
        </w:rPr>
      </w:pPr>
    </w:p>
    <w:p w14:paraId="6544DC3E" w14:textId="77777777" w:rsidR="00B57A66" w:rsidRDefault="00B57A66">
      <w:pPr>
        <w:spacing w:line="240" w:lineRule="auto"/>
        <w:rPr>
          <w:sz w:val="24"/>
          <w:szCs w:val="24"/>
        </w:rPr>
      </w:pPr>
    </w:p>
    <w:p w14:paraId="1DC2335C" w14:textId="77777777" w:rsidR="00B57A66" w:rsidRDefault="00B57A66">
      <w:pPr>
        <w:spacing w:line="240" w:lineRule="auto"/>
        <w:rPr>
          <w:sz w:val="24"/>
          <w:szCs w:val="24"/>
        </w:rPr>
      </w:pPr>
    </w:p>
    <w:p w14:paraId="3E390087" w14:textId="77777777" w:rsidR="00B57A66" w:rsidRDefault="00B57A66">
      <w:pPr>
        <w:spacing w:line="240" w:lineRule="auto"/>
        <w:rPr>
          <w:sz w:val="24"/>
          <w:szCs w:val="24"/>
        </w:rPr>
      </w:pPr>
    </w:p>
    <w:p w14:paraId="2BD6060C" w14:textId="77777777" w:rsidR="00B57A66" w:rsidRDefault="00B57A66">
      <w:pPr>
        <w:spacing w:line="240" w:lineRule="auto"/>
        <w:rPr>
          <w:sz w:val="24"/>
          <w:szCs w:val="24"/>
        </w:rPr>
      </w:pPr>
    </w:p>
    <w:p w14:paraId="4CB2CD61" w14:textId="77777777" w:rsidR="00B57A66" w:rsidRDefault="00B57A66">
      <w:pPr>
        <w:spacing w:line="240" w:lineRule="auto"/>
        <w:rPr>
          <w:sz w:val="24"/>
          <w:szCs w:val="24"/>
        </w:rPr>
      </w:pPr>
    </w:p>
    <w:p w14:paraId="027DE5F9" w14:textId="2DDACB1D" w:rsidR="00B57A66" w:rsidRDefault="00773E2D">
      <w:pPr>
        <w:spacing w:line="240" w:lineRule="auto"/>
        <w:jc w:val="both"/>
        <w:rPr>
          <w:sz w:val="36"/>
          <w:szCs w:val="36"/>
        </w:rPr>
      </w:pPr>
      <w:r>
        <w:rPr>
          <w:sz w:val="24"/>
          <w:szCs w:val="24"/>
        </w:rPr>
        <w:t xml:space="preserve">                           </w:t>
      </w:r>
      <w:r>
        <w:rPr>
          <w:sz w:val="36"/>
          <w:szCs w:val="36"/>
        </w:rPr>
        <w:t>Proyecto Cine Club Otaku Antifa</w:t>
      </w:r>
      <w:r w:rsidR="0037748D">
        <w:rPr>
          <w:sz w:val="36"/>
          <w:szCs w:val="36"/>
        </w:rPr>
        <w:t>s</w:t>
      </w:r>
      <w:r>
        <w:rPr>
          <w:sz w:val="36"/>
          <w:szCs w:val="36"/>
        </w:rPr>
        <w:t>cista</w:t>
      </w:r>
    </w:p>
    <w:p w14:paraId="32EC2BDE" w14:textId="77777777" w:rsidR="00B57A66" w:rsidRDefault="00B57A66">
      <w:pPr>
        <w:spacing w:line="240" w:lineRule="auto"/>
        <w:jc w:val="both"/>
        <w:rPr>
          <w:sz w:val="36"/>
          <w:szCs w:val="36"/>
        </w:rPr>
      </w:pPr>
    </w:p>
    <w:p w14:paraId="295BB626" w14:textId="77777777" w:rsidR="00B57A66" w:rsidRDefault="00B57A66">
      <w:pPr>
        <w:spacing w:line="240" w:lineRule="auto"/>
        <w:jc w:val="both"/>
        <w:rPr>
          <w:sz w:val="36"/>
          <w:szCs w:val="36"/>
        </w:rPr>
      </w:pPr>
    </w:p>
    <w:p w14:paraId="3E6799C2" w14:textId="77777777" w:rsidR="00B57A66" w:rsidRDefault="00B57A66">
      <w:pPr>
        <w:spacing w:line="240" w:lineRule="auto"/>
        <w:jc w:val="both"/>
        <w:rPr>
          <w:sz w:val="36"/>
          <w:szCs w:val="36"/>
        </w:rPr>
      </w:pPr>
    </w:p>
    <w:p w14:paraId="27828C08" w14:textId="77777777" w:rsidR="00B57A66" w:rsidRDefault="00B57A66">
      <w:pPr>
        <w:spacing w:line="240" w:lineRule="auto"/>
        <w:jc w:val="both"/>
        <w:rPr>
          <w:sz w:val="36"/>
          <w:szCs w:val="36"/>
        </w:rPr>
      </w:pPr>
    </w:p>
    <w:p w14:paraId="5642DF9A" w14:textId="77777777" w:rsidR="00B57A66" w:rsidRDefault="00B57A66">
      <w:pPr>
        <w:spacing w:line="360" w:lineRule="auto"/>
        <w:jc w:val="both"/>
        <w:rPr>
          <w:sz w:val="36"/>
          <w:szCs w:val="36"/>
        </w:rPr>
      </w:pPr>
    </w:p>
    <w:p w14:paraId="5E8908D6" w14:textId="77777777" w:rsidR="00B57A66" w:rsidRDefault="00773E2D">
      <w:pPr>
        <w:spacing w:line="360" w:lineRule="auto"/>
        <w:jc w:val="center"/>
        <w:rPr>
          <w:sz w:val="24"/>
          <w:szCs w:val="24"/>
        </w:rPr>
      </w:pPr>
      <w:r>
        <w:rPr>
          <w:sz w:val="24"/>
          <w:szCs w:val="24"/>
        </w:rPr>
        <w:t>Autores:</w:t>
      </w:r>
    </w:p>
    <w:p w14:paraId="4A24D72D" w14:textId="77777777" w:rsidR="00B57A66" w:rsidRDefault="00773E2D">
      <w:pPr>
        <w:spacing w:line="360" w:lineRule="auto"/>
        <w:jc w:val="center"/>
        <w:rPr>
          <w:sz w:val="24"/>
          <w:szCs w:val="24"/>
        </w:rPr>
      </w:pPr>
      <w:r>
        <w:rPr>
          <w:sz w:val="24"/>
          <w:szCs w:val="24"/>
        </w:rPr>
        <w:t>Francisco Grunert</w:t>
      </w:r>
    </w:p>
    <w:p w14:paraId="025FC699" w14:textId="5B3E2458" w:rsidR="00B57A66" w:rsidRDefault="00773E2D">
      <w:pPr>
        <w:spacing w:line="360" w:lineRule="auto"/>
        <w:jc w:val="center"/>
        <w:rPr>
          <w:sz w:val="24"/>
          <w:szCs w:val="24"/>
        </w:rPr>
      </w:pPr>
      <w:r>
        <w:rPr>
          <w:sz w:val="24"/>
          <w:szCs w:val="24"/>
        </w:rPr>
        <w:t>Yerko Figueroa</w:t>
      </w:r>
    </w:p>
    <w:p w14:paraId="7A052A8B" w14:textId="333E09E3" w:rsidR="0037748D" w:rsidRDefault="0037748D">
      <w:pPr>
        <w:spacing w:line="360" w:lineRule="auto"/>
        <w:jc w:val="center"/>
        <w:rPr>
          <w:sz w:val="24"/>
          <w:szCs w:val="24"/>
        </w:rPr>
      </w:pPr>
    </w:p>
    <w:p w14:paraId="6E0E18D0" w14:textId="77777777" w:rsidR="0037748D" w:rsidRDefault="0037748D">
      <w:pPr>
        <w:spacing w:line="360" w:lineRule="auto"/>
        <w:jc w:val="center"/>
        <w:rPr>
          <w:sz w:val="24"/>
          <w:szCs w:val="24"/>
        </w:rPr>
      </w:pPr>
    </w:p>
    <w:p w14:paraId="2F52889E" w14:textId="77777777" w:rsidR="00B57A66" w:rsidRDefault="00B57A66">
      <w:pPr>
        <w:spacing w:line="360" w:lineRule="auto"/>
        <w:jc w:val="center"/>
        <w:rPr>
          <w:sz w:val="24"/>
          <w:szCs w:val="24"/>
        </w:rPr>
      </w:pPr>
    </w:p>
    <w:p w14:paraId="0C4FCF40" w14:textId="77777777" w:rsidR="00B57A66" w:rsidRDefault="00B57A66">
      <w:pPr>
        <w:spacing w:line="240" w:lineRule="auto"/>
        <w:ind w:firstLine="720"/>
        <w:jc w:val="both"/>
        <w:rPr>
          <w:sz w:val="24"/>
          <w:szCs w:val="24"/>
        </w:rPr>
      </w:pPr>
    </w:p>
    <w:p w14:paraId="6CCE770E" w14:textId="77777777" w:rsidR="00B57A66" w:rsidRDefault="00B57A66">
      <w:pPr>
        <w:spacing w:line="240" w:lineRule="auto"/>
        <w:ind w:firstLine="720"/>
        <w:jc w:val="both"/>
        <w:rPr>
          <w:sz w:val="24"/>
          <w:szCs w:val="24"/>
        </w:rPr>
      </w:pPr>
    </w:p>
    <w:p w14:paraId="47BA45C1" w14:textId="77777777" w:rsidR="00B57A66" w:rsidRDefault="00773E2D">
      <w:pPr>
        <w:spacing w:line="240" w:lineRule="auto"/>
        <w:ind w:firstLine="720"/>
        <w:jc w:val="both"/>
        <w:rPr>
          <w:sz w:val="24"/>
          <w:szCs w:val="24"/>
        </w:rPr>
      </w:pPr>
      <w:r>
        <w:rPr>
          <w:sz w:val="24"/>
          <w:szCs w:val="24"/>
        </w:rPr>
        <w:lastRenderedPageBreak/>
        <w:t xml:space="preserve">El proyecto de investigación en el que hemos estado trabajando consiste en una evaluación del “Cineclub Otaku Antifascista” (en adelante </w:t>
      </w:r>
      <w:r>
        <w:rPr>
          <w:i/>
          <w:sz w:val="24"/>
          <w:szCs w:val="24"/>
        </w:rPr>
        <w:t>COA</w:t>
      </w:r>
      <w:r>
        <w:rPr>
          <w:sz w:val="24"/>
          <w:szCs w:val="24"/>
        </w:rPr>
        <w:t xml:space="preserve">), proyecto autogestionado que surgió durante el Estallido Social 2019. En este ensayo introduciremos brevemente esta iniciativa, cómo se formó y en qué consiste, para luego reflexionar sobre algunos conceptos que creemos que pueden ser útiles para analizar este proyecto desde una perspectiva socio-comunitaria. </w:t>
      </w:r>
    </w:p>
    <w:p w14:paraId="5012C5B8" w14:textId="77777777" w:rsidR="00B57A66" w:rsidRDefault="00773E2D">
      <w:pPr>
        <w:spacing w:line="240" w:lineRule="auto"/>
        <w:ind w:firstLine="720"/>
        <w:jc w:val="both"/>
        <w:rPr>
          <w:sz w:val="24"/>
          <w:szCs w:val="24"/>
        </w:rPr>
      </w:pPr>
      <w:r>
        <w:rPr>
          <w:sz w:val="24"/>
          <w:szCs w:val="24"/>
        </w:rPr>
        <w:t xml:space="preserve">A mediados del mes de noviembre de 2019, la “Brigada Otaku Antifascista” (en adelante </w:t>
      </w:r>
      <w:r>
        <w:rPr>
          <w:i/>
          <w:sz w:val="24"/>
          <w:szCs w:val="24"/>
        </w:rPr>
        <w:t>BOA</w:t>
      </w:r>
      <w:r>
        <w:rPr>
          <w:sz w:val="24"/>
          <w:szCs w:val="24"/>
        </w:rPr>
        <w:t xml:space="preserve">), por medio de su cuenta de Instagram, lanzó una “convocatoria </w:t>
      </w:r>
      <w:r>
        <w:rPr>
          <w:i/>
          <w:sz w:val="24"/>
          <w:szCs w:val="24"/>
        </w:rPr>
        <w:t>otaku</w:t>
      </w:r>
      <w:r>
        <w:rPr>
          <w:sz w:val="24"/>
          <w:szCs w:val="24"/>
        </w:rPr>
        <w:t xml:space="preserve">”, dirigida a generar un espacio de encuentro previo a la protesta del día 17 de noviembre. Esta convocatoria abierta fue uno de los primeros hitos que sirvieron para dar forma concreta a la BOA, pasando de ser una página de memes a formar un “colectivo” político real, presente en todas y cada una de las jornadas de protesta que tuvieron lugar durante la Revuelta. Entre las distintas cosas que se hicieron y hablaron ese día, surgió la idea de formar un espacio destinado a generar una instancia de diálogo y encuentro no solamente entre </w:t>
      </w:r>
      <w:proofErr w:type="spellStart"/>
      <w:r>
        <w:rPr>
          <w:sz w:val="24"/>
          <w:szCs w:val="24"/>
        </w:rPr>
        <w:t>lxs</w:t>
      </w:r>
      <w:proofErr w:type="spellEnd"/>
      <w:r>
        <w:rPr>
          <w:sz w:val="24"/>
          <w:szCs w:val="24"/>
        </w:rPr>
        <w:t xml:space="preserve"> miembros de la BOA, sino que entre todas las personas que se identificaran como </w:t>
      </w:r>
      <w:r>
        <w:rPr>
          <w:i/>
          <w:sz w:val="24"/>
          <w:szCs w:val="24"/>
        </w:rPr>
        <w:t>otakus</w:t>
      </w:r>
      <w:r>
        <w:rPr>
          <w:sz w:val="24"/>
          <w:szCs w:val="24"/>
        </w:rPr>
        <w:t xml:space="preserve"> y que quisieran participar políticamente desde tal posición. Así nació la idea de formar un “club de cine”, es decir, un espacio enfocado en la proyección de obras audiovisuales. Sin embargo, este espacio no se pensó como una instancia para ver películas gratis, sino que desde el primer minuto se trató de una forma de generar comunidad, analizando, discutiendo y reflexionando sobre obras audiovisuales asiáticas, principalmente de </w:t>
      </w:r>
      <w:r>
        <w:rPr>
          <w:i/>
          <w:sz w:val="24"/>
          <w:szCs w:val="24"/>
        </w:rPr>
        <w:t>anime</w:t>
      </w:r>
      <w:r>
        <w:rPr>
          <w:sz w:val="24"/>
          <w:szCs w:val="24"/>
        </w:rPr>
        <w:t xml:space="preserve">, interés común de </w:t>
      </w:r>
      <w:proofErr w:type="spellStart"/>
      <w:r>
        <w:rPr>
          <w:sz w:val="24"/>
          <w:szCs w:val="24"/>
        </w:rPr>
        <w:t>todxs</w:t>
      </w:r>
      <w:proofErr w:type="spellEnd"/>
      <w:r>
        <w:rPr>
          <w:sz w:val="24"/>
          <w:szCs w:val="24"/>
        </w:rPr>
        <w:t xml:space="preserve"> </w:t>
      </w:r>
      <w:proofErr w:type="spellStart"/>
      <w:r>
        <w:rPr>
          <w:sz w:val="24"/>
          <w:szCs w:val="24"/>
        </w:rPr>
        <w:t>lxs</w:t>
      </w:r>
      <w:proofErr w:type="spellEnd"/>
      <w:r>
        <w:rPr>
          <w:sz w:val="24"/>
          <w:szCs w:val="24"/>
        </w:rPr>
        <w:t xml:space="preserve"> </w:t>
      </w:r>
      <w:proofErr w:type="spellStart"/>
      <w:r>
        <w:rPr>
          <w:i/>
          <w:sz w:val="24"/>
          <w:szCs w:val="24"/>
        </w:rPr>
        <w:t>otakus</w:t>
      </w:r>
      <w:proofErr w:type="spellEnd"/>
      <w:r>
        <w:rPr>
          <w:sz w:val="24"/>
          <w:szCs w:val="24"/>
        </w:rPr>
        <w:t xml:space="preserve">. Es así que surge el COA, planteándose como encuentros donde la proyección de películas iría acompañada de conversatorios atingentes no solamente a las obras vistas, si no que en particular al contexto que estaba viviendo el país y a los debates que se estaban generando. </w:t>
      </w:r>
    </w:p>
    <w:p w14:paraId="7B37FE0E" w14:textId="2D4E318C" w:rsidR="00B57A66" w:rsidRDefault="00773E2D">
      <w:pPr>
        <w:spacing w:line="240" w:lineRule="auto"/>
        <w:ind w:firstLine="720"/>
        <w:jc w:val="both"/>
        <w:rPr>
          <w:sz w:val="24"/>
          <w:szCs w:val="24"/>
        </w:rPr>
      </w:pPr>
      <w:r>
        <w:rPr>
          <w:sz w:val="24"/>
          <w:szCs w:val="24"/>
        </w:rPr>
        <w:t xml:space="preserve">El COA logró organizar y realizar dos jornadas de proyecciones y conversatorios. En la primera jornada, realizada el 9 de diciembre del 2019, se proyectó la película </w:t>
      </w:r>
      <w:proofErr w:type="spellStart"/>
      <w:r>
        <w:rPr>
          <w:i/>
          <w:sz w:val="24"/>
          <w:szCs w:val="24"/>
        </w:rPr>
        <w:t>Pompoko</w:t>
      </w:r>
      <w:proofErr w:type="spellEnd"/>
      <w:r>
        <w:rPr>
          <w:sz w:val="24"/>
          <w:szCs w:val="24"/>
        </w:rPr>
        <w:t xml:space="preserve"> (1994), mientras </w:t>
      </w:r>
      <w:r w:rsidR="0037748D">
        <w:rPr>
          <w:sz w:val="24"/>
          <w:szCs w:val="24"/>
        </w:rPr>
        <w:t>que,</w:t>
      </w:r>
      <w:r>
        <w:rPr>
          <w:sz w:val="24"/>
          <w:szCs w:val="24"/>
        </w:rPr>
        <w:t xml:space="preserve"> en la segunda jornada, llevada a cabo el 19 del mismo mes, se presentó el </w:t>
      </w:r>
      <w:r w:rsidR="0037748D">
        <w:rPr>
          <w:sz w:val="24"/>
          <w:szCs w:val="24"/>
        </w:rPr>
        <w:t>filme</w:t>
      </w:r>
      <w:r>
        <w:rPr>
          <w:sz w:val="24"/>
          <w:szCs w:val="24"/>
        </w:rPr>
        <w:t xml:space="preserve"> </w:t>
      </w:r>
      <w:proofErr w:type="spellStart"/>
      <w:r>
        <w:rPr>
          <w:i/>
          <w:sz w:val="24"/>
          <w:szCs w:val="24"/>
        </w:rPr>
        <w:t>Tekkonkinkreet</w:t>
      </w:r>
      <w:proofErr w:type="spellEnd"/>
      <w:r>
        <w:rPr>
          <w:i/>
          <w:sz w:val="24"/>
          <w:szCs w:val="24"/>
        </w:rPr>
        <w:t xml:space="preserve"> </w:t>
      </w:r>
      <w:r>
        <w:rPr>
          <w:sz w:val="24"/>
          <w:szCs w:val="24"/>
        </w:rPr>
        <w:t xml:space="preserve">(2006). Ambas jornadas tuvieron lugar en la Escuela de Cine de Chile, ubicada en Lo Encalada 415. Se organizó una tercera fecha, la cual se iba a llevar a cabo el sábado 21 de marzo de 2020. Sin embargo, debido a la emergencia sanitaria del COVID-19, esta jornada no se pudo realizar. Debido a esta misma situación se tomó la decisión de que este año no se iban a realizar jornadas presenciales, por lo que se ha tratado de seguir trabajando mediante medios digitales. En este sentido, el día 4 de abril de 2020 se realizó, vía Instagram Live, un conversatorio enfocado en el anime </w:t>
      </w:r>
      <w:proofErr w:type="spellStart"/>
      <w:r>
        <w:rPr>
          <w:i/>
          <w:sz w:val="24"/>
          <w:szCs w:val="24"/>
        </w:rPr>
        <w:t>Neon</w:t>
      </w:r>
      <w:proofErr w:type="spellEnd"/>
      <w:r>
        <w:rPr>
          <w:i/>
          <w:sz w:val="24"/>
          <w:szCs w:val="24"/>
        </w:rPr>
        <w:t xml:space="preserve"> </w:t>
      </w:r>
      <w:proofErr w:type="spellStart"/>
      <w:r>
        <w:rPr>
          <w:i/>
          <w:sz w:val="24"/>
          <w:szCs w:val="24"/>
        </w:rPr>
        <w:t>Genesis</w:t>
      </w:r>
      <w:proofErr w:type="spellEnd"/>
      <w:r>
        <w:rPr>
          <w:i/>
          <w:sz w:val="24"/>
          <w:szCs w:val="24"/>
        </w:rPr>
        <w:t xml:space="preserve"> </w:t>
      </w:r>
      <w:proofErr w:type="spellStart"/>
      <w:r>
        <w:rPr>
          <w:i/>
          <w:sz w:val="24"/>
          <w:szCs w:val="24"/>
        </w:rPr>
        <w:t>Evangelion</w:t>
      </w:r>
      <w:proofErr w:type="spellEnd"/>
      <w:r>
        <w:rPr>
          <w:sz w:val="24"/>
          <w:szCs w:val="24"/>
        </w:rPr>
        <w:t>, siendo hasta la fecha el último evento realizado.</w:t>
      </w:r>
    </w:p>
    <w:p w14:paraId="2E1A539A" w14:textId="77777777" w:rsidR="00B57A66" w:rsidRDefault="00773E2D">
      <w:pPr>
        <w:spacing w:line="240" w:lineRule="auto"/>
        <w:ind w:firstLine="720"/>
        <w:jc w:val="both"/>
        <w:rPr>
          <w:sz w:val="24"/>
          <w:szCs w:val="24"/>
        </w:rPr>
      </w:pPr>
      <w:r>
        <w:rPr>
          <w:sz w:val="24"/>
          <w:szCs w:val="24"/>
        </w:rPr>
        <w:t xml:space="preserve">La pandemia actual ha afectado al COA, en la medida en que no se han podido realizar jornadas de cine y conversatorios presenciales. Debido a esto, surge el cuestionamiento de cómo continuar con el proyecto, tomando en cuenta la situación actual, además de pensar en las proyecciones a futuro que puede tener esta iniciativa. En este sentido, creemos que es relevante repensar el COA desde sus bases, es decir, desde su objetivo fundacional, el cual es generar comunidad </w:t>
      </w:r>
      <w:r>
        <w:rPr>
          <w:i/>
          <w:sz w:val="24"/>
          <w:szCs w:val="24"/>
        </w:rPr>
        <w:t>otaku</w:t>
      </w:r>
      <w:r>
        <w:rPr>
          <w:sz w:val="24"/>
          <w:szCs w:val="24"/>
        </w:rPr>
        <w:t xml:space="preserve">. De esta forma, reflexionaremos sobre el enfoque comunitario y su relevancia en este proyecto. También hablaremos sobre la idea de acontecimiento comunitario y cómo podemos vincularlo con esta iniciativa. Por último, analizaremos brevemente el modelo de participación y cómo se aplica al COA. </w:t>
      </w:r>
    </w:p>
    <w:p w14:paraId="4305FFCE" w14:textId="557E8346" w:rsidR="00B57A66" w:rsidRDefault="00773E2D">
      <w:pPr>
        <w:spacing w:line="240" w:lineRule="auto"/>
        <w:ind w:firstLine="720"/>
        <w:jc w:val="both"/>
        <w:rPr>
          <w:sz w:val="24"/>
          <w:szCs w:val="24"/>
        </w:rPr>
      </w:pPr>
      <w:r>
        <w:rPr>
          <w:sz w:val="24"/>
          <w:szCs w:val="24"/>
        </w:rPr>
        <w:t xml:space="preserve">El enfoque comunitario es un modelo que está orientado principalmente a la praxis social, es decir, se centra en el hacer concreto de los actores sociales que participan de diversos acontecimientos comunitarios, construyendo diversos </w:t>
      </w:r>
      <w:r>
        <w:rPr>
          <w:sz w:val="24"/>
          <w:szCs w:val="24"/>
        </w:rPr>
        <w:lastRenderedPageBreak/>
        <w:t xml:space="preserve">contextos posibles. El enfoque comunitario, al ser un enfoque integral, nos puede ayudar a comprender la diversa amalgama de complejidades que abarcan los procesos sociales. De esta manera, al contar con una matriz sistémica abierta basada en el cómo los diversos actores sociales se vinculan con y desde sus diversos contextos políticos, sociales, económicos, </w:t>
      </w:r>
      <w:r w:rsidR="0037748D">
        <w:rPr>
          <w:sz w:val="24"/>
          <w:szCs w:val="24"/>
        </w:rPr>
        <w:t>etc.</w:t>
      </w:r>
      <w:r>
        <w:rPr>
          <w:sz w:val="24"/>
          <w:szCs w:val="24"/>
        </w:rPr>
        <w:t xml:space="preserve">, es que podemos elaborar estrategias de acción orientadas a las necesidades particulares de cada comunidad. En ese sentido, y tomando en cuenta el contexto del COA, las obras cinematográficas que se proyectan están dirigidas a una comunidad de </w:t>
      </w:r>
      <w:r>
        <w:rPr>
          <w:i/>
          <w:sz w:val="24"/>
          <w:szCs w:val="24"/>
        </w:rPr>
        <w:t>otakus</w:t>
      </w:r>
      <w:r>
        <w:rPr>
          <w:sz w:val="24"/>
          <w:szCs w:val="24"/>
        </w:rPr>
        <w:t xml:space="preserve"> que se declaran como antifascistas, destacando la clara intencionalidad política que hay detrás del proyecto, hecho que constituye el núcleo común de esta iniciativa.</w:t>
      </w:r>
    </w:p>
    <w:p w14:paraId="583358E7" w14:textId="77777777" w:rsidR="00B57A66" w:rsidRDefault="00773E2D">
      <w:pPr>
        <w:spacing w:line="240" w:lineRule="auto"/>
        <w:ind w:firstLine="720"/>
        <w:jc w:val="both"/>
        <w:rPr>
          <w:sz w:val="24"/>
          <w:szCs w:val="24"/>
        </w:rPr>
      </w:pPr>
      <w:r>
        <w:rPr>
          <w:sz w:val="24"/>
          <w:szCs w:val="24"/>
        </w:rPr>
        <w:t xml:space="preserve">El núcleo común vinculante (NCV) es una parte fundamental de la idea de “acontecimiento comunitario”, concepto que refiere a la forma en que lo comunitario se materializa en la vida de las personas. El acontecimiento comunitario es un suceso que tiene un tiempo y espacio definidos, y que siempre se desarrolla de nuevas y diferentes formas. Este acontecimiento está sostenido por el NCV, que, tal como indica su nombre, vincula entre sí a las personas partícipes de un acontecimiento, y construye el acontecimiento mismo. El acontecimiento comunitario es un suceso que se edifica a partir de lo común, es decir, de un elemento compartido entre quienes forman el acontecimiento. En este sentido, el COA puede ser pensado como un acontecimiento comunitario, donde el NCV es la identidad </w:t>
      </w:r>
      <w:r>
        <w:rPr>
          <w:i/>
          <w:sz w:val="24"/>
          <w:szCs w:val="24"/>
        </w:rPr>
        <w:t>otaku</w:t>
      </w:r>
      <w:r>
        <w:rPr>
          <w:sz w:val="24"/>
          <w:szCs w:val="24"/>
        </w:rPr>
        <w:t xml:space="preserve">, unida a un posicionamiento político definido como antifascista. El COA es un acontecimiento en sí mismo, en el sentido de que todas las jornadas son diferentes entre sí, a pesar de que tengan una estructura determinada (proyectar películas y realizar conversatorios). De una jornada a otra, difieren las películas, los temas hablados e incluso pueden variar </w:t>
      </w:r>
      <w:proofErr w:type="spellStart"/>
      <w:r>
        <w:rPr>
          <w:sz w:val="24"/>
          <w:szCs w:val="24"/>
        </w:rPr>
        <w:t>lxs</w:t>
      </w:r>
      <w:proofErr w:type="spellEnd"/>
      <w:r>
        <w:rPr>
          <w:sz w:val="24"/>
          <w:szCs w:val="24"/>
        </w:rPr>
        <w:t xml:space="preserve"> participantes, pero siempre existirá como punto en común un posicionamiento político unido al ser </w:t>
      </w:r>
      <w:r>
        <w:rPr>
          <w:i/>
          <w:sz w:val="24"/>
          <w:szCs w:val="24"/>
        </w:rPr>
        <w:t>otaku</w:t>
      </w:r>
      <w:r>
        <w:rPr>
          <w:sz w:val="24"/>
          <w:szCs w:val="24"/>
        </w:rPr>
        <w:t>.</w:t>
      </w:r>
    </w:p>
    <w:p w14:paraId="44E6724E" w14:textId="77777777" w:rsidR="00B57A66" w:rsidRDefault="00773E2D">
      <w:pPr>
        <w:spacing w:line="240" w:lineRule="auto"/>
        <w:ind w:firstLine="720"/>
        <w:jc w:val="both"/>
        <w:rPr>
          <w:sz w:val="24"/>
          <w:szCs w:val="24"/>
        </w:rPr>
      </w:pPr>
      <w:r>
        <w:rPr>
          <w:sz w:val="24"/>
          <w:szCs w:val="24"/>
        </w:rPr>
        <w:t xml:space="preserve">Para finalizar, el COA también es un espacio de encuentro participativo, donde se da lugar a las diversas opiniones, cuestionamientos, inquietudes, etc. que surgen por parte de </w:t>
      </w:r>
      <w:proofErr w:type="spellStart"/>
      <w:r>
        <w:rPr>
          <w:sz w:val="24"/>
          <w:szCs w:val="24"/>
        </w:rPr>
        <w:t>lxs</w:t>
      </w:r>
      <w:proofErr w:type="spellEnd"/>
      <w:r>
        <w:rPr>
          <w:sz w:val="24"/>
          <w:szCs w:val="24"/>
        </w:rPr>
        <w:t xml:space="preserve"> participantes, abriendo dinámicas de discusión centradas en temas políticos atingentes al contexto del Estallido Social. En ese sentido, entendemos que </w:t>
      </w:r>
      <w:r>
        <w:t>“</w:t>
      </w:r>
      <w:r>
        <w:rPr>
          <w:sz w:val="24"/>
          <w:szCs w:val="24"/>
        </w:rPr>
        <w:t xml:space="preserve">la participación no es un concepto único, estable y referido sólo a lo político. Es una dinámica mediante la cual los ciudadanos se involucran en forma consciente y voluntaria en todos los procesos que les afectan directa o indirectamente” (El </w:t>
      </w:r>
      <w:proofErr w:type="spellStart"/>
      <w:r>
        <w:rPr>
          <w:sz w:val="24"/>
          <w:szCs w:val="24"/>
        </w:rPr>
        <w:t>Troudi</w:t>
      </w:r>
      <w:proofErr w:type="spellEnd"/>
      <w:r>
        <w:rPr>
          <w:sz w:val="24"/>
          <w:szCs w:val="24"/>
        </w:rPr>
        <w:t xml:space="preserve">, </w:t>
      </w:r>
      <w:proofErr w:type="spellStart"/>
      <w:r>
        <w:rPr>
          <w:sz w:val="24"/>
          <w:szCs w:val="24"/>
        </w:rPr>
        <w:t>Harnecker</w:t>
      </w:r>
      <w:proofErr w:type="spellEnd"/>
      <w:r>
        <w:rPr>
          <w:sz w:val="24"/>
          <w:szCs w:val="24"/>
        </w:rPr>
        <w:t xml:space="preserve">, Bonilla, 2005, p. 8). El COA es un proyecto pensado como espacio y acontecimiento, en donde se puedan encontrar personas que, unidas en principio por un interés en común (lo </w:t>
      </w:r>
      <w:r>
        <w:rPr>
          <w:i/>
          <w:sz w:val="24"/>
          <w:szCs w:val="24"/>
        </w:rPr>
        <w:t>otaku</w:t>
      </w:r>
      <w:r>
        <w:rPr>
          <w:sz w:val="24"/>
          <w:szCs w:val="24"/>
        </w:rPr>
        <w:t xml:space="preserve"> y el gusto por el </w:t>
      </w:r>
      <w:r>
        <w:rPr>
          <w:i/>
          <w:sz w:val="24"/>
          <w:szCs w:val="24"/>
        </w:rPr>
        <w:t>anime</w:t>
      </w:r>
      <w:r>
        <w:rPr>
          <w:sz w:val="24"/>
          <w:szCs w:val="24"/>
        </w:rPr>
        <w:t xml:space="preserve">, </w:t>
      </w:r>
      <w:r>
        <w:rPr>
          <w:i/>
          <w:sz w:val="24"/>
          <w:szCs w:val="24"/>
        </w:rPr>
        <w:t>manga</w:t>
      </w:r>
      <w:r>
        <w:rPr>
          <w:sz w:val="24"/>
          <w:szCs w:val="24"/>
        </w:rPr>
        <w:t>, etc.), se relacionen también en un plano político. De esta manera, la idea fundamental del COA es servir como herramienta para fortalecer los vínculos de la comunidad Otaku Antifascista, mediante la participación y la reflexión.</w:t>
      </w:r>
    </w:p>
    <w:p w14:paraId="57BBF2C0" w14:textId="77777777" w:rsidR="00B57A66" w:rsidRDefault="00B57A66">
      <w:pPr>
        <w:rPr>
          <w:b/>
        </w:rPr>
      </w:pPr>
    </w:p>
    <w:p w14:paraId="605C967A" w14:textId="77777777" w:rsidR="00B57A66" w:rsidRDefault="00B57A66">
      <w:pPr>
        <w:rPr>
          <w:b/>
        </w:rPr>
      </w:pPr>
    </w:p>
    <w:p w14:paraId="5B05A148" w14:textId="77777777" w:rsidR="00B57A66" w:rsidRDefault="00B57A66">
      <w:pPr>
        <w:rPr>
          <w:b/>
        </w:rPr>
      </w:pPr>
    </w:p>
    <w:p w14:paraId="020934A1" w14:textId="77777777" w:rsidR="00B57A66" w:rsidRDefault="00B57A66">
      <w:pPr>
        <w:rPr>
          <w:b/>
        </w:rPr>
      </w:pPr>
    </w:p>
    <w:p w14:paraId="3634C66D" w14:textId="77777777" w:rsidR="00B57A66" w:rsidRDefault="00B57A66">
      <w:pPr>
        <w:rPr>
          <w:b/>
        </w:rPr>
      </w:pPr>
    </w:p>
    <w:p w14:paraId="21AD1772" w14:textId="77777777" w:rsidR="00B57A66" w:rsidRDefault="00B57A66">
      <w:pPr>
        <w:rPr>
          <w:b/>
        </w:rPr>
      </w:pPr>
    </w:p>
    <w:p w14:paraId="086944B6" w14:textId="77777777" w:rsidR="00B57A66" w:rsidRDefault="00B57A66">
      <w:pPr>
        <w:rPr>
          <w:b/>
        </w:rPr>
      </w:pPr>
    </w:p>
    <w:p w14:paraId="497DBADB" w14:textId="77777777" w:rsidR="00B57A66" w:rsidRDefault="00B57A66">
      <w:pPr>
        <w:rPr>
          <w:b/>
        </w:rPr>
      </w:pPr>
    </w:p>
    <w:p w14:paraId="77763AFF" w14:textId="77777777" w:rsidR="00B57A66" w:rsidRDefault="00B57A66">
      <w:pPr>
        <w:rPr>
          <w:b/>
        </w:rPr>
      </w:pPr>
    </w:p>
    <w:p w14:paraId="0DC247DE" w14:textId="77777777" w:rsidR="00B57A66" w:rsidRDefault="00B57A66">
      <w:pPr>
        <w:rPr>
          <w:b/>
        </w:rPr>
      </w:pPr>
    </w:p>
    <w:p w14:paraId="560E121F" w14:textId="77777777" w:rsidR="0037748D" w:rsidRDefault="0037748D">
      <w:pPr>
        <w:jc w:val="center"/>
        <w:rPr>
          <w:sz w:val="24"/>
          <w:szCs w:val="24"/>
        </w:rPr>
      </w:pPr>
    </w:p>
    <w:p w14:paraId="714BD39B" w14:textId="2BCF982F" w:rsidR="00B57A66" w:rsidRDefault="00773E2D">
      <w:pPr>
        <w:jc w:val="center"/>
        <w:rPr>
          <w:sz w:val="24"/>
          <w:szCs w:val="24"/>
        </w:rPr>
      </w:pPr>
      <w:r>
        <w:rPr>
          <w:sz w:val="24"/>
          <w:szCs w:val="24"/>
        </w:rPr>
        <w:lastRenderedPageBreak/>
        <w:t>Referencias</w:t>
      </w:r>
    </w:p>
    <w:p w14:paraId="0501D7D9" w14:textId="77777777" w:rsidR="00B57A66" w:rsidRDefault="00B57A66">
      <w:pPr>
        <w:jc w:val="both"/>
        <w:rPr>
          <w:sz w:val="24"/>
          <w:szCs w:val="24"/>
        </w:rPr>
      </w:pPr>
    </w:p>
    <w:p w14:paraId="32C26119" w14:textId="77777777" w:rsidR="00B57A66" w:rsidRDefault="00773E2D">
      <w:pPr>
        <w:ind w:left="720" w:hanging="720"/>
        <w:jc w:val="both"/>
        <w:rPr>
          <w:sz w:val="24"/>
          <w:szCs w:val="24"/>
        </w:rPr>
      </w:pPr>
      <w:r>
        <w:rPr>
          <w:sz w:val="24"/>
          <w:szCs w:val="24"/>
        </w:rPr>
        <w:t xml:space="preserve">El </w:t>
      </w:r>
      <w:proofErr w:type="spellStart"/>
      <w:r>
        <w:rPr>
          <w:sz w:val="24"/>
          <w:szCs w:val="24"/>
        </w:rPr>
        <w:t>Troudi</w:t>
      </w:r>
      <w:proofErr w:type="spellEnd"/>
      <w:r>
        <w:rPr>
          <w:sz w:val="24"/>
          <w:szCs w:val="24"/>
        </w:rPr>
        <w:t xml:space="preserve">, H., </w:t>
      </w:r>
      <w:proofErr w:type="spellStart"/>
      <w:r>
        <w:rPr>
          <w:sz w:val="24"/>
          <w:szCs w:val="24"/>
        </w:rPr>
        <w:t>Harnecker</w:t>
      </w:r>
      <w:proofErr w:type="spellEnd"/>
      <w:r>
        <w:rPr>
          <w:sz w:val="24"/>
          <w:szCs w:val="24"/>
        </w:rPr>
        <w:t>, M., Bonilla Luis (2005): Herramientas para la Participación</w:t>
      </w:r>
    </w:p>
    <w:p w14:paraId="6613B793" w14:textId="77777777" w:rsidR="00B57A66" w:rsidRDefault="00B57A66">
      <w:pPr>
        <w:ind w:left="720" w:hanging="720"/>
        <w:jc w:val="both"/>
        <w:rPr>
          <w:sz w:val="24"/>
          <w:szCs w:val="24"/>
        </w:rPr>
      </w:pPr>
    </w:p>
    <w:p w14:paraId="1D7664C9" w14:textId="77777777" w:rsidR="00B57A66" w:rsidRDefault="00773E2D">
      <w:pPr>
        <w:ind w:left="720" w:hanging="720"/>
        <w:jc w:val="both"/>
        <w:rPr>
          <w:sz w:val="24"/>
          <w:szCs w:val="24"/>
        </w:rPr>
      </w:pPr>
      <w:commentRangeStart w:id="0"/>
      <w:r>
        <w:rPr>
          <w:sz w:val="24"/>
          <w:szCs w:val="24"/>
        </w:rPr>
        <w:t>Martínez, V. (2006). El enfoque comunitario. Ed Magíster Psicología Comunitaria Universidad de Chile.</w:t>
      </w:r>
    </w:p>
    <w:p w14:paraId="62053973" w14:textId="77777777" w:rsidR="00B57A66" w:rsidRDefault="00B57A66">
      <w:pPr>
        <w:ind w:left="720" w:hanging="720"/>
        <w:jc w:val="both"/>
        <w:rPr>
          <w:sz w:val="24"/>
          <w:szCs w:val="24"/>
        </w:rPr>
      </w:pPr>
    </w:p>
    <w:p w14:paraId="7D79E716" w14:textId="77777777" w:rsidR="00B57A66" w:rsidRDefault="00773E2D">
      <w:pPr>
        <w:ind w:left="720" w:hanging="720"/>
        <w:jc w:val="both"/>
        <w:rPr>
          <w:sz w:val="24"/>
          <w:szCs w:val="24"/>
        </w:rPr>
      </w:pPr>
      <w:r>
        <w:rPr>
          <w:sz w:val="24"/>
          <w:szCs w:val="24"/>
        </w:rPr>
        <w:t>Martínez, V (2020). El acontecimiento comunitario. Guía de Trabajo.</w:t>
      </w:r>
      <w:commentRangeEnd w:id="0"/>
      <w:r w:rsidR="00881DF9">
        <w:rPr>
          <w:rStyle w:val="Refdecomentario"/>
        </w:rPr>
        <w:commentReference w:id="0"/>
      </w:r>
    </w:p>
    <w:p w14:paraId="48A32FED" w14:textId="77777777" w:rsidR="00B57A66" w:rsidRDefault="00B57A66">
      <w:pPr>
        <w:rPr>
          <w:b/>
        </w:rPr>
      </w:pPr>
    </w:p>
    <w:p w14:paraId="37727788" w14:textId="77777777" w:rsidR="00B57A66" w:rsidRDefault="00B57A66">
      <w:pPr>
        <w:rPr>
          <w:b/>
        </w:rPr>
      </w:pPr>
    </w:p>
    <w:p w14:paraId="3D606D7B" w14:textId="0F4DF283" w:rsidR="00B57A66" w:rsidRDefault="00AF233B" w:rsidP="00AF233B">
      <w:pPr>
        <w:jc w:val="both"/>
      </w:pPr>
      <w:r>
        <w:t>Comentarios:</w:t>
      </w:r>
    </w:p>
    <w:p w14:paraId="4C6AF109" w14:textId="73B25986" w:rsidR="00881DF9" w:rsidRDefault="00881DF9" w:rsidP="00AF233B">
      <w:pPr>
        <w:jc w:val="both"/>
      </w:pPr>
      <w:r>
        <w:t>Me parece un proyecto muy interesante de analizar desde una perspectiva comunitaria ya que podría, como ustedes refieren, ayudar a comprender diversas experiencias</w:t>
      </w:r>
      <w:r w:rsidR="00247CDE">
        <w:t>, vínculos y necesidades comunitarias</w:t>
      </w:r>
      <w:r>
        <w:t xml:space="preserve">. Considero adecuado el análisis que incorporan desde lo común, solo </w:t>
      </w:r>
      <w:r w:rsidR="00247CDE">
        <w:t xml:space="preserve">agregaría </w:t>
      </w:r>
      <w:r>
        <w:t xml:space="preserve">referencias bibliográficas de manera de dialogar con </w:t>
      </w:r>
      <w:r w:rsidR="00247CDE">
        <w:t xml:space="preserve">el saber experto. </w:t>
      </w:r>
    </w:p>
    <w:p w14:paraId="3C5D4D01" w14:textId="77777777" w:rsidR="00AF233B" w:rsidRDefault="00AF233B" w:rsidP="00AF233B">
      <w:pPr>
        <w:jc w:val="both"/>
      </w:pPr>
    </w:p>
    <w:tbl>
      <w:tblPr>
        <w:tblStyle w:val="Tablaconcuadrcula"/>
        <w:tblpPr w:leftFromText="141" w:rightFromText="141" w:vertAnchor="text" w:horzAnchor="margin" w:tblpY="372"/>
        <w:tblW w:w="8500" w:type="dxa"/>
        <w:tblLayout w:type="fixed"/>
        <w:tblLook w:val="04A0" w:firstRow="1" w:lastRow="0" w:firstColumn="1" w:lastColumn="0" w:noHBand="0" w:noVBand="1"/>
      </w:tblPr>
      <w:tblGrid>
        <w:gridCol w:w="3114"/>
        <w:gridCol w:w="1843"/>
        <w:gridCol w:w="1842"/>
        <w:gridCol w:w="1701"/>
      </w:tblGrid>
      <w:tr w:rsidR="00AF233B" w14:paraId="0A1CC014" w14:textId="77777777" w:rsidTr="00BF6321">
        <w:tc>
          <w:tcPr>
            <w:tcW w:w="3114" w:type="dxa"/>
            <w:tcBorders>
              <w:left w:val="single" w:sz="4" w:space="0" w:color="auto"/>
            </w:tcBorders>
          </w:tcPr>
          <w:p w14:paraId="137EA477" w14:textId="77777777" w:rsidR="00AF233B" w:rsidRPr="00362C24" w:rsidRDefault="00AF233B" w:rsidP="00BF6321">
            <w:pPr>
              <w:rPr>
                <w:rFonts w:ascii="Arial" w:hAnsi="Arial" w:cs="Arial"/>
              </w:rPr>
            </w:pPr>
            <w:r>
              <w:rPr>
                <w:rFonts w:ascii="Arial" w:hAnsi="Arial" w:cs="Arial"/>
              </w:rPr>
              <w:t>Categorías</w:t>
            </w:r>
          </w:p>
        </w:tc>
        <w:tc>
          <w:tcPr>
            <w:tcW w:w="1843" w:type="dxa"/>
            <w:tcBorders>
              <w:left w:val="single" w:sz="4" w:space="0" w:color="auto"/>
            </w:tcBorders>
          </w:tcPr>
          <w:p w14:paraId="7C7815A9" w14:textId="77777777" w:rsidR="00AF233B" w:rsidRPr="00362C24" w:rsidRDefault="00AF233B" w:rsidP="00BF6321">
            <w:pPr>
              <w:rPr>
                <w:rFonts w:ascii="Arial" w:hAnsi="Arial" w:cs="Arial"/>
              </w:rPr>
            </w:pPr>
            <w:r>
              <w:rPr>
                <w:rFonts w:ascii="Arial" w:hAnsi="Arial" w:cs="Arial"/>
              </w:rPr>
              <w:t>Aprobado</w:t>
            </w:r>
          </w:p>
        </w:tc>
        <w:tc>
          <w:tcPr>
            <w:tcW w:w="1842" w:type="dxa"/>
            <w:tcBorders>
              <w:left w:val="single" w:sz="4" w:space="0" w:color="auto"/>
            </w:tcBorders>
          </w:tcPr>
          <w:p w14:paraId="25E3E996" w14:textId="77777777" w:rsidR="00AF233B" w:rsidRPr="00362C24" w:rsidRDefault="00AF233B" w:rsidP="00BF6321">
            <w:pPr>
              <w:rPr>
                <w:rFonts w:ascii="Arial" w:hAnsi="Arial" w:cs="Arial"/>
              </w:rPr>
            </w:pPr>
            <w:r>
              <w:rPr>
                <w:rFonts w:ascii="Arial" w:hAnsi="Arial" w:cs="Arial"/>
              </w:rPr>
              <w:t>Aprobado con comentarios</w:t>
            </w:r>
          </w:p>
        </w:tc>
        <w:tc>
          <w:tcPr>
            <w:tcW w:w="1701" w:type="dxa"/>
            <w:tcBorders>
              <w:left w:val="single" w:sz="4" w:space="0" w:color="auto"/>
            </w:tcBorders>
          </w:tcPr>
          <w:p w14:paraId="3384D644" w14:textId="77777777" w:rsidR="00AF233B" w:rsidRPr="00362C24" w:rsidRDefault="00AF233B" w:rsidP="00BF6321">
            <w:pPr>
              <w:rPr>
                <w:rFonts w:ascii="Arial" w:hAnsi="Arial" w:cs="Arial"/>
              </w:rPr>
            </w:pPr>
            <w:r>
              <w:rPr>
                <w:rFonts w:ascii="Arial" w:hAnsi="Arial" w:cs="Arial"/>
              </w:rPr>
              <w:t>Reprobado</w:t>
            </w:r>
          </w:p>
        </w:tc>
      </w:tr>
      <w:tr w:rsidR="00AF233B" w14:paraId="301CE35E" w14:textId="77777777" w:rsidTr="00BF6321">
        <w:tc>
          <w:tcPr>
            <w:tcW w:w="8500" w:type="dxa"/>
            <w:gridSpan w:val="4"/>
            <w:tcBorders>
              <w:left w:val="single" w:sz="4" w:space="0" w:color="auto"/>
            </w:tcBorders>
            <w:shd w:val="clear" w:color="auto" w:fill="CCC0D9" w:themeFill="accent4" w:themeFillTint="66"/>
          </w:tcPr>
          <w:p w14:paraId="0C017CC9" w14:textId="77777777" w:rsidR="00AF233B" w:rsidRPr="00362C24" w:rsidRDefault="00AF233B" w:rsidP="00BF6321">
            <w:pPr>
              <w:rPr>
                <w:rFonts w:ascii="Arial" w:hAnsi="Arial" w:cs="Arial"/>
              </w:rPr>
            </w:pPr>
            <w:r w:rsidRPr="00362C24">
              <w:rPr>
                <w:rFonts w:ascii="Arial" w:hAnsi="Arial" w:cs="Arial"/>
              </w:rPr>
              <w:t>Coherencia</w:t>
            </w:r>
          </w:p>
        </w:tc>
      </w:tr>
      <w:tr w:rsidR="00AF233B" w14:paraId="76C4317F" w14:textId="77777777" w:rsidTr="00247CDE">
        <w:trPr>
          <w:trHeight w:val="690"/>
        </w:trPr>
        <w:tc>
          <w:tcPr>
            <w:tcW w:w="3114" w:type="dxa"/>
            <w:tcBorders>
              <w:left w:val="single" w:sz="4" w:space="0" w:color="auto"/>
            </w:tcBorders>
          </w:tcPr>
          <w:p w14:paraId="5F4B5767" w14:textId="77777777" w:rsidR="00AF233B" w:rsidRPr="00362C24" w:rsidRDefault="00AF233B" w:rsidP="00BF6321">
            <w:pPr>
              <w:rPr>
                <w:rFonts w:ascii="Arial" w:hAnsi="Arial" w:cs="Arial"/>
                <w:b/>
              </w:rPr>
            </w:pPr>
            <w:r>
              <w:rPr>
                <w:rFonts w:ascii="Arial" w:hAnsi="Arial" w:cs="Arial"/>
              </w:rPr>
              <w:t>Integración del saber experto abordado en clase.</w:t>
            </w:r>
          </w:p>
        </w:tc>
        <w:tc>
          <w:tcPr>
            <w:tcW w:w="1843" w:type="dxa"/>
            <w:tcBorders>
              <w:left w:val="single" w:sz="4" w:space="0" w:color="auto"/>
            </w:tcBorders>
            <w:shd w:val="clear" w:color="auto" w:fill="FFC000"/>
          </w:tcPr>
          <w:p w14:paraId="6864E47B" w14:textId="77777777" w:rsidR="00AF233B" w:rsidRPr="00362C24" w:rsidRDefault="00AF233B" w:rsidP="00BF6321">
            <w:pPr>
              <w:rPr>
                <w:rFonts w:ascii="Arial" w:hAnsi="Arial" w:cs="Arial"/>
              </w:rPr>
            </w:pPr>
            <w:r>
              <w:rPr>
                <w:rFonts w:ascii="Arial" w:hAnsi="Arial" w:cs="Arial"/>
              </w:rPr>
              <w:t>Integra los elementos</w:t>
            </w:r>
          </w:p>
        </w:tc>
        <w:tc>
          <w:tcPr>
            <w:tcW w:w="1842" w:type="dxa"/>
            <w:tcBorders>
              <w:left w:val="single" w:sz="4" w:space="0" w:color="auto"/>
            </w:tcBorders>
          </w:tcPr>
          <w:p w14:paraId="019E2944" w14:textId="77777777" w:rsidR="00AF233B" w:rsidRPr="00362C24" w:rsidRDefault="00AF233B" w:rsidP="00BF6321">
            <w:pPr>
              <w:rPr>
                <w:rFonts w:ascii="Arial" w:hAnsi="Arial" w:cs="Arial"/>
              </w:rPr>
            </w:pPr>
            <w:r>
              <w:rPr>
                <w:rFonts w:ascii="Arial" w:hAnsi="Arial" w:cs="Arial"/>
              </w:rPr>
              <w:t>Integra medianamente los elementos</w:t>
            </w:r>
          </w:p>
        </w:tc>
        <w:tc>
          <w:tcPr>
            <w:tcW w:w="1701" w:type="dxa"/>
            <w:tcBorders>
              <w:left w:val="single" w:sz="4" w:space="0" w:color="auto"/>
            </w:tcBorders>
          </w:tcPr>
          <w:p w14:paraId="2BA1BC5E" w14:textId="77777777" w:rsidR="00AF233B" w:rsidRPr="00362C24" w:rsidRDefault="00AF233B" w:rsidP="00BF6321">
            <w:pPr>
              <w:rPr>
                <w:rFonts w:ascii="Arial" w:hAnsi="Arial" w:cs="Arial"/>
              </w:rPr>
            </w:pPr>
            <w:r>
              <w:rPr>
                <w:rFonts w:ascii="Arial" w:hAnsi="Arial" w:cs="Arial"/>
              </w:rPr>
              <w:t>No logra integrar los elementos</w:t>
            </w:r>
          </w:p>
        </w:tc>
      </w:tr>
      <w:tr w:rsidR="00AF233B" w14:paraId="1335FE92" w14:textId="77777777" w:rsidTr="00247CDE">
        <w:trPr>
          <w:trHeight w:val="450"/>
        </w:trPr>
        <w:tc>
          <w:tcPr>
            <w:tcW w:w="3114" w:type="dxa"/>
            <w:tcBorders>
              <w:left w:val="single" w:sz="4" w:space="0" w:color="auto"/>
            </w:tcBorders>
          </w:tcPr>
          <w:p w14:paraId="5FABC830" w14:textId="77777777" w:rsidR="00AF233B" w:rsidRPr="00362C24" w:rsidRDefault="00AF233B" w:rsidP="00BF6321">
            <w:pPr>
              <w:rPr>
                <w:rFonts w:ascii="Arial" w:hAnsi="Arial" w:cs="Arial"/>
              </w:rPr>
            </w:pPr>
            <w:r>
              <w:rPr>
                <w:rFonts w:ascii="Arial" w:hAnsi="Arial" w:cs="Arial"/>
              </w:rPr>
              <w:t>Incorporación</w:t>
            </w:r>
            <w:r w:rsidRPr="00362C24">
              <w:rPr>
                <w:rFonts w:ascii="Arial" w:hAnsi="Arial" w:cs="Arial"/>
              </w:rPr>
              <w:t xml:space="preserve"> del saber</w:t>
            </w:r>
            <w:r>
              <w:rPr>
                <w:rFonts w:ascii="Arial" w:hAnsi="Arial" w:cs="Arial"/>
              </w:rPr>
              <w:t xml:space="preserve"> comunitario.</w:t>
            </w:r>
          </w:p>
        </w:tc>
        <w:tc>
          <w:tcPr>
            <w:tcW w:w="1843" w:type="dxa"/>
            <w:tcBorders>
              <w:left w:val="single" w:sz="4" w:space="0" w:color="auto"/>
            </w:tcBorders>
            <w:shd w:val="clear" w:color="auto" w:fill="FFC000"/>
          </w:tcPr>
          <w:p w14:paraId="5C2BC303" w14:textId="77777777" w:rsidR="00AF233B" w:rsidRDefault="00AF233B" w:rsidP="00BF6321">
            <w:pPr>
              <w:rPr>
                <w:rFonts w:ascii="Arial" w:hAnsi="Arial" w:cs="Arial"/>
              </w:rPr>
            </w:pPr>
            <w:r>
              <w:rPr>
                <w:rFonts w:ascii="Arial" w:hAnsi="Arial" w:cs="Arial"/>
              </w:rPr>
              <w:t>Incorpora el saber comunitario</w:t>
            </w:r>
          </w:p>
        </w:tc>
        <w:tc>
          <w:tcPr>
            <w:tcW w:w="1842" w:type="dxa"/>
            <w:tcBorders>
              <w:left w:val="single" w:sz="4" w:space="0" w:color="auto"/>
            </w:tcBorders>
          </w:tcPr>
          <w:p w14:paraId="15E5214F" w14:textId="77777777" w:rsidR="00AF233B" w:rsidRDefault="00AF233B" w:rsidP="00BF6321">
            <w:pPr>
              <w:rPr>
                <w:rFonts w:ascii="Arial" w:hAnsi="Arial" w:cs="Arial"/>
              </w:rPr>
            </w:pPr>
            <w:r>
              <w:rPr>
                <w:rFonts w:ascii="Arial" w:hAnsi="Arial" w:cs="Arial"/>
              </w:rPr>
              <w:t>Incorpora medianamente el saber comunitario</w:t>
            </w:r>
          </w:p>
        </w:tc>
        <w:tc>
          <w:tcPr>
            <w:tcW w:w="1701" w:type="dxa"/>
            <w:tcBorders>
              <w:left w:val="single" w:sz="4" w:space="0" w:color="auto"/>
            </w:tcBorders>
          </w:tcPr>
          <w:p w14:paraId="123B97AA" w14:textId="77777777" w:rsidR="00AF233B" w:rsidRDefault="00AF233B" w:rsidP="00BF6321">
            <w:pPr>
              <w:rPr>
                <w:rFonts w:ascii="Arial" w:hAnsi="Arial" w:cs="Arial"/>
              </w:rPr>
            </w:pPr>
            <w:r>
              <w:rPr>
                <w:rFonts w:ascii="Arial" w:hAnsi="Arial" w:cs="Arial"/>
              </w:rPr>
              <w:t>No incorpora el saber comunitario</w:t>
            </w:r>
          </w:p>
        </w:tc>
      </w:tr>
      <w:tr w:rsidR="00AF233B" w14:paraId="2DADED9F" w14:textId="77777777" w:rsidTr="00247CDE">
        <w:trPr>
          <w:trHeight w:val="401"/>
        </w:trPr>
        <w:tc>
          <w:tcPr>
            <w:tcW w:w="3114" w:type="dxa"/>
            <w:tcBorders>
              <w:left w:val="single" w:sz="4" w:space="0" w:color="auto"/>
            </w:tcBorders>
          </w:tcPr>
          <w:p w14:paraId="1973E828" w14:textId="77777777" w:rsidR="00AF233B" w:rsidRDefault="00AF233B" w:rsidP="00BF6321">
            <w:pPr>
              <w:rPr>
                <w:rFonts w:ascii="Arial" w:hAnsi="Arial" w:cs="Arial"/>
              </w:rPr>
            </w:pPr>
            <w:r>
              <w:rPr>
                <w:rFonts w:ascii="Arial" w:hAnsi="Arial" w:cs="Arial"/>
              </w:rPr>
              <w:t>Dialogo entre el saber comunitario y el saber experto.</w:t>
            </w:r>
          </w:p>
        </w:tc>
        <w:tc>
          <w:tcPr>
            <w:tcW w:w="1843" w:type="dxa"/>
            <w:tcBorders>
              <w:left w:val="single" w:sz="4" w:space="0" w:color="auto"/>
            </w:tcBorders>
            <w:shd w:val="clear" w:color="auto" w:fill="FFC000"/>
          </w:tcPr>
          <w:p w14:paraId="0E9DF417" w14:textId="77777777" w:rsidR="00AF233B" w:rsidRDefault="00AF233B" w:rsidP="00BF6321">
            <w:pPr>
              <w:rPr>
                <w:rFonts w:ascii="Arial" w:hAnsi="Arial" w:cs="Arial"/>
              </w:rPr>
            </w:pPr>
            <w:r>
              <w:rPr>
                <w:rFonts w:ascii="Arial" w:hAnsi="Arial" w:cs="Arial"/>
              </w:rPr>
              <w:t>Existe dialogo entre saberes</w:t>
            </w:r>
          </w:p>
        </w:tc>
        <w:tc>
          <w:tcPr>
            <w:tcW w:w="1842" w:type="dxa"/>
            <w:tcBorders>
              <w:left w:val="single" w:sz="4" w:space="0" w:color="auto"/>
            </w:tcBorders>
          </w:tcPr>
          <w:p w14:paraId="5CA9DA9D" w14:textId="77777777" w:rsidR="00AF233B" w:rsidRDefault="00AF233B" w:rsidP="00BF6321">
            <w:pPr>
              <w:rPr>
                <w:rFonts w:ascii="Arial" w:hAnsi="Arial" w:cs="Arial"/>
              </w:rPr>
            </w:pPr>
            <w:r>
              <w:rPr>
                <w:rFonts w:ascii="Arial" w:hAnsi="Arial" w:cs="Arial"/>
              </w:rPr>
              <w:t>Existe medianamente dialogo entre saberes</w:t>
            </w:r>
          </w:p>
        </w:tc>
        <w:tc>
          <w:tcPr>
            <w:tcW w:w="1701" w:type="dxa"/>
            <w:tcBorders>
              <w:left w:val="single" w:sz="4" w:space="0" w:color="auto"/>
            </w:tcBorders>
          </w:tcPr>
          <w:p w14:paraId="7B34A514" w14:textId="77777777" w:rsidR="00AF233B" w:rsidRDefault="00AF233B" w:rsidP="00BF6321">
            <w:pPr>
              <w:rPr>
                <w:rFonts w:ascii="Arial" w:hAnsi="Arial" w:cs="Arial"/>
              </w:rPr>
            </w:pPr>
            <w:r>
              <w:rPr>
                <w:rFonts w:ascii="Arial" w:hAnsi="Arial" w:cs="Arial"/>
              </w:rPr>
              <w:t>No existe dialogo entre saberes</w:t>
            </w:r>
          </w:p>
        </w:tc>
      </w:tr>
      <w:tr w:rsidR="00AF233B" w14:paraId="01061B1F" w14:textId="77777777" w:rsidTr="00BF6321">
        <w:trPr>
          <w:trHeight w:val="401"/>
        </w:trPr>
        <w:tc>
          <w:tcPr>
            <w:tcW w:w="8500" w:type="dxa"/>
            <w:gridSpan w:val="4"/>
            <w:tcBorders>
              <w:left w:val="single" w:sz="4" w:space="0" w:color="auto"/>
            </w:tcBorders>
            <w:shd w:val="clear" w:color="auto" w:fill="CCC0D9" w:themeFill="accent4" w:themeFillTint="66"/>
          </w:tcPr>
          <w:p w14:paraId="0481C242" w14:textId="77777777" w:rsidR="00AF233B" w:rsidRPr="00362C24" w:rsidRDefault="00AF233B" w:rsidP="00BF6321">
            <w:pPr>
              <w:rPr>
                <w:rFonts w:ascii="Arial" w:hAnsi="Arial" w:cs="Arial"/>
              </w:rPr>
            </w:pPr>
            <w:r w:rsidRPr="00362C24">
              <w:rPr>
                <w:rFonts w:ascii="Arial" w:hAnsi="Arial" w:cs="Arial"/>
              </w:rPr>
              <w:t>Análisis</w:t>
            </w:r>
          </w:p>
        </w:tc>
      </w:tr>
      <w:tr w:rsidR="00AF233B" w14:paraId="79460D56" w14:textId="77777777" w:rsidTr="00247CDE">
        <w:trPr>
          <w:trHeight w:val="405"/>
        </w:trPr>
        <w:tc>
          <w:tcPr>
            <w:tcW w:w="3114" w:type="dxa"/>
          </w:tcPr>
          <w:p w14:paraId="624B3021" w14:textId="77777777" w:rsidR="00AF233B" w:rsidRPr="00362C24" w:rsidRDefault="00AF233B" w:rsidP="00BF6321">
            <w:pPr>
              <w:rPr>
                <w:rFonts w:ascii="Arial" w:hAnsi="Arial" w:cs="Arial"/>
              </w:rPr>
            </w:pPr>
            <w:r>
              <w:rPr>
                <w:rFonts w:ascii="Arial" w:hAnsi="Arial" w:cs="Arial"/>
              </w:rPr>
              <w:t>Pertinencia del análisis</w:t>
            </w:r>
          </w:p>
        </w:tc>
        <w:tc>
          <w:tcPr>
            <w:tcW w:w="1843" w:type="dxa"/>
            <w:shd w:val="clear" w:color="auto" w:fill="FFC000"/>
          </w:tcPr>
          <w:p w14:paraId="798240D8" w14:textId="77777777" w:rsidR="00AF233B" w:rsidRDefault="00AF233B" w:rsidP="00BF6321">
            <w:pPr>
              <w:rPr>
                <w:rFonts w:ascii="Arial" w:hAnsi="Arial" w:cs="Arial"/>
              </w:rPr>
            </w:pPr>
            <w:r>
              <w:rPr>
                <w:rFonts w:ascii="Arial" w:hAnsi="Arial" w:cs="Arial"/>
              </w:rPr>
              <w:t>El análisis es pertinente a los requerimientos del ensayo</w:t>
            </w:r>
          </w:p>
        </w:tc>
        <w:tc>
          <w:tcPr>
            <w:tcW w:w="1842" w:type="dxa"/>
          </w:tcPr>
          <w:p w14:paraId="14FEA87D" w14:textId="77777777" w:rsidR="00AF233B" w:rsidRDefault="00AF233B" w:rsidP="00BF6321">
            <w:pPr>
              <w:rPr>
                <w:rFonts w:ascii="Arial" w:hAnsi="Arial" w:cs="Arial"/>
              </w:rPr>
            </w:pPr>
            <w:r>
              <w:rPr>
                <w:rFonts w:ascii="Arial" w:hAnsi="Arial" w:cs="Arial"/>
              </w:rPr>
              <w:t>El análisis es medianamente pertinente a los requerimientos del ensayo</w:t>
            </w:r>
          </w:p>
        </w:tc>
        <w:tc>
          <w:tcPr>
            <w:tcW w:w="1701" w:type="dxa"/>
          </w:tcPr>
          <w:p w14:paraId="08928D5E" w14:textId="77777777" w:rsidR="00AF233B" w:rsidRDefault="00AF233B" w:rsidP="00BF6321">
            <w:pPr>
              <w:rPr>
                <w:rFonts w:ascii="Arial" w:hAnsi="Arial" w:cs="Arial"/>
              </w:rPr>
            </w:pPr>
            <w:r>
              <w:rPr>
                <w:rFonts w:ascii="Arial" w:hAnsi="Arial" w:cs="Arial"/>
              </w:rPr>
              <w:t>El análisis no es pertinente a los requerimientos del ensayo</w:t>
            </w:r>
          </w:p>
        </w:tc>
      </w:tr>
      <w:tr w:rsidR="00AF233B" w14:paraId="6A4592F3" w14:textId="77777777" w:rsidTr="00247CDE">
        <w:trPr>
          <w:trHeight w:val="405"/>
        </w:trPr>
        <w:tc>
          <w:tcPr>
            <w:tcW w:w="3114" w:type="dxa"/>
          </w:tcPr>
          <w:p w14:paraId="0F7A934E" w14:textId="77777777" w:rsidR="00AF233B" w:rsidRPr="00362C24" w:rsidRDefault="00AF233B" w:rsidP="00BF6321">
            <w:pPr>
              <w:rPr>
                <w:rFonts w:ascii="Arial" w:hAnsi="Arial" w:cs="Arial"/>
              </w:rPr>
            </w:pPr>
            <w:r w:rsidRPr="00362C24">
              <w:rPr>
                <w:rFonts w:ascii="Arial" w:hAnsi="Arial" w:cs="Arial"/>
              </w:rPr>
              <w:t>Incorporación de</w:t>
            </w:r>
            <w:r>
              <w:rPr>
                <w:rFonts w:ascii="Arial" w:hAnsi="Arial" w:cs="Arial"/>
              </w:rPr>
              <w:t xml:space="preserve"> posicionamiento</w:t>
            </w:r>
            <w:r w:rsidRPr="00362C24">
              <w:rPr>
                <w:rFonts w:ascii="Arial" w:hAnsi="Arial" w:cs="Arial"/>
              </w:rPr>
              <w:t xml:space="preserve"> </w:t>
            </w:r>
            <w:r>
              <w:rPr>
                <w:rFonts w:ascii="Arial" w:hAnsi="Arial" w:cs="Arial"/>
              </w:rPr>
              <w:t>grupal</w:t>
            </w:r>
          </w:p>
        </w:tc>
        <w:tc>
          <w:tcPr>
            <w:tcW w:w="1843" w:type="dxa"/>
            <w:shd w:val="clear" w:color="auto" w:fill="FFC000"/>
          </w:tcPr>
          <w:p w14:paraId="6C71E2F0" w14:textId="77777777" w:rsidR="00AF233B" w:rsidRPr="00362C24" w:rsidRDefault="00AF233B" w:rsidP="00BF6321">
            <w:pPr>
              <w:rPr>
                <w:rFonts w:ascii="Arial" w:hAnsi="Arial" w:cs="Arial"/>
              </w:rPr>
            </w:pPr>
            <w:r>
              <w:rPr>
                <w:rFonts w:ascii="Arial" w:hAnsi="Arial" w:cs="Arial"/>
              </w:rPr>
              <w:t>Incorpora posicionamiento grupal</w:t>
            </w:r>
          </w:p>
        </w:tc>
        <w:tc>
          <w:tcPr>
            <w:tcW w:w="1842" w:type="dxa"/>
          </w:tcPr>
          <w:p w14:paraId="681BF597" w14:textId="77777777" w:rsidR="00AF233B" w:rsidRPr="00362C24" w:rsidRDefault="00AF233B" w:rsidP="00BF6321">
            <w:pPr>
              <w:rPr>
                <w:rFonts w:ascii="Arial" w:hAnsi="Arial" w:cs="Arial"/>
              </w:rPr>
            </w:pPr>
            <w:r>
              <w:rPr>
                <w:rFonts w:ascii="Arial" w:hAnsi="Arial" w:cs="Arial"/>
              </w:rPr>
              <w:t>Incorpora medianamente posicionamiento grupal</w:t>
            </w:r>
          </w:p>
        </w:tc>
        <w:tc>
          <w:tcPr>
            <w:tcW w:w="1701" w:type="dxa"/>
          </w:tcPr>
          <w:p w14:paraId="13A98AFC" w14:textId="77777777" w:rsidR="00AF233B" w:rsidRPr="00362C24" w:rsidRDefault="00AF233B" w:rsidP="00BF6321">
            <w:pPr>
              <w:rPr>
                <w:rFonts w:ascii="Arial" w:hAnsi="Arial" w:cs="Arial"/>
              </w:rPr>
            </w:pPr>
            <w:r>
              <w:rPr>
                <w:rFonts w:ascii="Arial" w:hAnsi="Arial" w:cs="Arial"/>
              </w:rPr>
              <w:t>No incorpora posicionamiento grupal</w:t>
            </w:r>
          </w:p>
        </w:tc>
      </w:tr>
      <w:tr w:rsidR="00AF233B" w14:paraId="7BE3DC22" w14:textId="77777777" w:rsidTr="00247CDE">
        <w:trPr>
          <w:trHeight w:val="818"/>
        </w:trPr>
        <w:tc>
          <w:tcPr>
            <w:tcW w:w="3114" w:type="dxa"/>
          </w:tcPr>
          <w:p w14:paraId="0A237755" w14:textId="77777777" w:rsidR="00AF233B" w:rsidRPr="00362C24" w:rsidRDefault="00AF233B" w:rsidP="00BF6321">
            <w:pPr>
              <w:rPr>
                <w:rFonts w:ascii="Arial" w:hAnsi="Arial" w:cs="Arial"/>
              </w:rPr>
            </w:pPr>
            <w:r>
              <w:rPr>
                <w:rFonts w:ascii="Arial" w:hAnsi="Arial" w:cs="Arial"/>
              </w:rPr>
              <w:t>Argumentos pertinentes de acuerdo</w:t>
            </w:r>
            <w:r w:rsidRPr="00362C24">
              <w:rPr>
                <w:rFonts w:ascii="Arial" w:hAnsi="Arial" w:cs="Arial"/>
              </w:rPr>
              <w:t xml:space="preserve"> a la temática.</w:t>
            </w:r>
          </w:p>
        </w:tc>
        <w:tc>
          <w:tcPr>
            <w:tcW w:w="1843" w:type="dxa"/>
            <w:shd w:val="clear" w:color="auto" w:fill="FFC000"/>
          </w:tcPr>
          <w:p w14:paraId="0DA59F72" w14:textId="77777777" w:rsidR="00AF233B" w:rsidRPr="00362C24" w:rsidRDefault="00AF233B" w:rsidP="00BF6321">
            <w:pPr>
              <w:rPr>
                <w:rFonts w:ascii="Arial" w:hAnsi="Arial" w:cs="Arial"/>
              </w:rPr>
            </w:pPr>
            <w:r>
              <w:rPr>
                <w:rFonts w:ascii="Arial" w:hAnsi="Arial" w:cs="Arial"/>
              </w:rPr>
              <w:t>Argumentación pertinente</w:t>
            </w:r>
          </w:p>
        </w:tc>
        <w:tc>
          <w:tcPr>
            <w:tcW w:w="1842" w:type="dxa"/>
          </w:tcPr>
          <w:p w14:paraId="25E2884C" w14:textId="77777777" w:rsidR="00AF233B" w:rsidRPr="00362C24" w:rsidRDefault="00AF233B" w:rsidP="00BF6321">
            <w:pPr>
              <w:rPr>
                <w:rFonts w:ascii="Arial" w:hAnsi="Arial" w:cs="Arial"/>
              </w:rPr>
            </w:pPr>
            <w:r>
              <w:rPr>
                <w:rFonts w:ascii="Arial" w:hAnsi="Arial" w:cs="Arial"/>
              </w:rPr>
              <w:t>Argumentación medianamente pertinente</w:t>
            </w:r>
          </w:p>
        </w:tc>
        <w:tc>
          <w:tcPr>
            <w:tcW w:w="1701" w:type="dxa"/>
          </w:tcPr>
          <w:p w14:paraId="7E9381B4" w14:textId="77777777" w:rsidR="00AF233B" w:rsidRPr="00362C24" w:rsidRDefault="00AF233B" w:rsidP="00BF6321">
            <w:pPr>
              <w:rPr>
                <w:rFonts w:ascii="Arial" w:hAnsi="Arial" w:cs="Arial"/>
              </w:rPr>
            </w:pPr>
            <w:r>
              <w:rPr>
                <w:rFonts w:ascii="Arial" w:hAnsi="Arial" w:cs="Arial"/>
              </w:rPr>
              <w:t>Argumentación no pertinente</w:t>
            </w:r>
          </w:p>
        </w:tc>
      </w:tr>
      <w:tr w:rsidR="00AF233B" w14:paraId="39F42843" w14:textId="77777777" w:rsidTr="00247CDE">
        <w:trPr>
          <w:trHeight w:val="465"/>
        </w:trPr>
        <w:tc>
          <w:tcPr>
            <w:tcW w:w="3114" w:type="dxa"/>
          </w:tcPr>
          <w:p w14:paraId="6F810D65" w14:textId="77777777" w:rsidR="00AF233B" w:rsidRDefault="00AF233B" w:rsidP="00BF6321">
            <w:pPr>
              <w:rPr>
                <w:rFonts w:ascii="Arial" w:hAnsi="Arial" w:cs="Arial"/>
              </w:rPr>
            </w:pPr>
            <w:r>
              <w:rPr>
                <w:rFonts w:ascii="Arial" w:hAnsi="Arial" w:cs="Arial"/>
              </w:rPr>
              <w:t xml:space="preserve">Argumentos creativos y originales </w:t>
            </w:r>
          </w:p>
        </w:tc>
        <w:tc>
          <w:tcPr>
            <w:tcW w:w="1843" w:type="dxa"/>
            <w:shd w:val="clear" w:color="auto" w:fill="FFC000"/>
          </w:tcPr>
          <w:p w14:paraId="44EBBE13" w14:textId="77777777" w:rsidR="00AF233B" w:rsidRPr="00362C24" w:rsidRDefault="00AF233B" w:rsidP="00BF6321">
            <w:pPr>
              <w:rPr>
                <w:rFonts w:ascii="Arial" w:hAnsi="Arial" w:cs="Arial"/>
              </w:rPr>
            </w:pPr>
            <w:r>
              <w:rPr>
                <w:rFonts w:ascii="Arial" w:hAnsi="Arial" w:cs="Arial"/>
              </w:rPr>
              <w:t>El análisis es creativo y original</w:t>
            </w:r>
          </w:p>
        </w:tc>
        <w:tc>
          <w:tcPr>
            <w:tcW w:w="1842" w:type="dxa"/>
          </w:tcPr>
          <w:p w14:paraId="22E7A569" w14:textId="77777777" w:rsidR="00AF233B" w:rsidRPr="00362C24" w:rsidRDefault="00AF233B" w:rsidP="00BF6321">
            <w:pPr>
              <w:rPr>
                <w:rFonts w:ascii="Arial" w:hAnsi="Arial" w:cs="Arial"/>
              </w:rPr>
            </w:pPr>
            <w:r>
              <w:rPr>
                <w:rFonts w:ascii="Arial" w:hAnsi="Arial" w:cs="Arial"/>
              </w:rPr>
              <w:t>El análisis es medianamente creativo</w:t>
            </w:r>
          </w:p>
        </w:tc>
        <w:tc>
          <w:tcPr>
            <w:tcW w:w="1701" w:type="dxa"/>
          </w:tcPr>
          <w:p w14:paraId="2BC18410" w14:textId="77777777" w:rsidR="00AF233B" w:rsidRPr="00362C24" w:rsidRDefault="00AF233B" w:rsidP="00BF6321">
            <w:pPr>
              <w:rPr>
                <w:rFonts w:ascii="Arial" w:hAnsi="Arial" w:cs="Arial"/>
              </w:rPr>
            </w:pPr>
            <w:r>
              <w:rPr>
                <w:rFonts w:ascii="Arial" w:hAnsi="Arial" w:cs="Arial"/>
              </w:rPr>
              <w:t>El análisis no creativo ni original</w:t>
            </w:r>
          </w:p>
        </w:tc>
      </w:tr>
      <w:tr w:rsidR="00AF233B" w14:paraId="737D869C" w14:textId="77777777" w:rsidTr="00BF6321">
        <w:tc>
          <w:tcPr>
            <w:tcW w:w="8500" w:type="dxa"/>
            <w:gridSpan w:val="4"/>
            <w:shd w:val="clear" w:color="auto" w:fill="CCC0D9" w:themeFill="accent4" w:themeFillTint="66"/>
          </w:tcPr>
          <w:p w14:paraId="66B972FF" w14:textId="77777777" w:rsidR="00AF233B" w:rsidRPr="00362C24" w:rsidRDefault="00AF233B" w:rsidP="00BF6321">
            <w:pPr>
              <w:rPr>
                <w:rFonts w:ascii="Arial" w:hAnsi="Arial" w:cs="Arial"/>
              </w:rPr>
            </w:pPr>
            <w:r w:rsidRPr="00362C24">
              <w:rPr>
                <w:rFonts w:ascii="Arial" w:hAnsi="Arial" w:cs="Arial"/>
              </w:rPr>
              <w:t>Aspectos formales</w:t>
            </w:r>
          </w:p>
        </w:tc>
      </w:tr>
      <w:tr w:rsidR="00AF233B" w14:paraId="781A46CA" w14:textId="77777777" w:rsidTr="00247CDE">
        <w:trPr>
          <w:trHeight w:val="360"/>
        </w:trPr>
        <w:tc>
          <w:tcPr>
            <w:tcW w:w="3114" w:type="dxa"/>
          </w:tcPr>
          <w:p w14:paraId="31A2170B" w14:textId="77777777" w:rsidR="00AF233B" w:rsidRPr="00027DA5" w:rsidRDefault="00AF233B" w:rsidP="00BF6321">
            <w:pPr>
              <w:autoSpaceDE w:val="0"/>
              <w:autoSpaceDN w:val="0"/>
              <w:adjustRightInd w:val="0"/>
              <w:rPr>
                <w:rFonts w:ascii="Arial" w:hAnsi="Arial" w:cs="Arial"/>
              </w:rPr>
            </w:pPr>
            <w:r>
              <w:rPr>
                <w:rFonts w:ascii="Arial" w:hAnsi="Arial" w:cs="Arial"/>
              </w:rPr>
              <w:t>Capacidad de síntesis</w:t>
            </w:r>
          </w:p>
        </w:tc>
        <w:tc>
          <w:tcPr>
            <w:tcW w:w="1843" w:type="dxa"/>
            <w:shd w:val="clear" w:color="auto" w:fill="FFC000"/>
          </w:tcPr>
          <w:p w14:paraId="325ACAF4" w14:textId="77777777" w:rsidR="00AF233B" w:rsidRPr="00362C24" w:rsidRDefault="00AF233B" w:rsidP="00BF6321">
            <w:pPr>
              <w:autoSpaceDE w:val="0"/>
              <w:autoSpaceDN w:val="0"/>
              <w:adjustRightInd w:val="0"/>
              <w:rPr>
                <w:rFonts w:ascii="Arial" w:hAnsi="Arial" w:cs="Arial"/>
              </w:rPr>
            </w:pPr>
            <w:r>
              <w:rPr>
                <w:rFonts w:ascii="Arial" w:hAnsi="Arial" w:cs="Arial"/>
              </w:rPr>
              <w:t>Cumple con los requisi</w:t>
            </w:r>
            <w:bookmarkStart w:id="1" w:name="_GoBack"/>
            <w:bookmarkEnd w:id="1"/>
            <w:r>
              <w:rPr>
                <w:rFonts w:ascii="Arial" w:hAnsi="Arial" w:cs="Arial"/>
              </w:rPr>
              <w:t>tos</w:t>
            </w:r>
          </w:p>
        </w:tc>
        <w:tc>
          <w:tcPr>
            <w:tcW w:w="1842" w:type="dxa"/>
          </w:tcPr>
          <w:p w14:paraId="6028B0D4" w14:textId="77777777" w:rsidR="00AF233B" w:rsidRPr="00362C24" w:rsidRDefault="00AF233B" w:rsidP="00BF6321">
            <w:pPr>
              <w:autoSpaceDE w:val="0"/>
              <w:autoSpaceDN w:val="0"/>
              <w:adjustRightInd w:val="0"/>
              <w:rPr>
                <w:rFonts w:ascii="Arial" w:hAnsi="Arial" w:cs="Arial"/>
              </w:rPr>
            </w:pPr>
          </w:p>
        </w:tc>
        <w:tc>
          <w:tcPr>
            <w:tcW w:w="1701" w:type="dxa"/>
          </w:tcPr>
          <w:p w14:paraId="1414AC14" w14:textId="77777777" w:rsidR="00AF233B" w:rsidRPr="00362C24" w:rsidRDefault="00AF233B" w:rsidP="00BF6321">
            <w:pPr>
              <w:autoSpaceDE w:val="0"/>
              <w:autoSpaceDN w:val="0"/>
              <w:adjustRightInd w:val="0"/>
              <w:rPr>
                <w:rFonts w:ascii="Arial" w:hAnsi="Arial" w:cs="Arial"/>
              </w:rPr>
            </w:pPr>
            <w:r>
              <w:rPr>
                <w:rFonts w:ascii="Arial" w:hAnsi="Arial" w:cs="Arial"/>
              </w:rPr>
              <w:t>No cumple con los requisitos</w:t>
            </w:r>
          </w:p>
        </w:tc>
      </w:tr>
      <w:tr w:rsidR="00AF233B" w14:paraId="1696F813" w14:textId="77777777" w:rsidTr="00247CDE">
        <w:trPr>
          <w:trHeight w:val="371"/>
        </w:trPr>
        <w:tc>
          <w:tcPr>
            <w:tcW w:w="3114" w:type="dxa"/>
          </w:tcPr>
          <w:p w14:paraId="231AB72F" w14:textId="77777777" w:rsidR="00AF233B" w:rsidRPr="00362C24" w:rsidRDefault="00AF233B" w:rsidP="00BF6321">
            <w:pPr>
              <w:rPr>
                <w:rFonts w:ascii="Arial" w:hAnsi="Arial" w:cs="Arial"/>
              </w:rPr>
            </w:pPr>
            <w:r w:rsidRPr="00362C24">
              <w:rPr>
                <w:rFonts w:ascii="Arial" w:hAnsi="Arial" w:cs="Arial"/>
              </w:rPr>
              <w:lastRenderedPageBreak/>
              <w:t>Claridad en la exposición</w:t>
            </w:r>
          </w:p>
        </w:tc>
        <w:tc>
          <w:tcPr>
            <w:tcW w:w="1843" w:type="dxa"/>
            <w:shd w:val="clear" w:color="auto" w:fill="FFC000"/>
          </w:tcPr>
          <w:p w14:paraId="52F24D08" w14:textId="77777777" w:rsidR="00AF233B" w:rsidRPr="00362C24" w:rsidRDefault="00AF233B" w:rsidP="00BF6321">
            <w:pPr>
              <w:autoSpaceDE w:val="0"/>
              <w:autoSpaceDN w:val="0"/>
              <w:adjustRightInd w:val="0"/>
              <w:rPr>
                <w:rFonts w:ascii="Arial" w:hAnsi="Arial" w:cs="Arial"/>
              </w:rPr>
            </w:pPr>
            <w:r>
              <w:rPr>
                <w:rFonts w:ascii="Arial" w:hAnsi="Arial" w:cs="Arial"/>
              </w:rPr>
              <w:t>Es claro</w:t>
            </w:r>
          </w:p>
        </w:tc>
        <w:tc>
          <w:tcPr>
            <w:tcW w:w="1842" w:type="dxa"/>
          </w:tcPr>
          <w:p w14:paraId="34820645" w14:textId="77777777" w:rsidR="00AF233B" w:rsidRPr="00362C24" w:rsidRDefault="00AF233B" w:rsidP="00BF6321">
            <w:pPr>
              <w:autoSpaceDE w:val="0"/>
              <w:autoSpaceDN w:val="0"/>
              <w:adjustRightInd w:val="0"/>
              <w:rPr>
                <w:rFonts w:ascii="Arial" w:hAnsi="Arial" w:cs="Arial"/>
              </w:rPr>
            </w:pPr>
            <w:r>
              <w:rPr>
                <w:rFonts w:ascii="Arial" w:hAnsi="Arial" w:cs="Arial"/>
              </w:rPr>
              <w:t xml:space="preserve">Falta claridad </w:t>
            </w:r>
          </w:p>
        </w:tc>
        <w:tc>
          <w:tcPr>
            <w:tcW w:w="1701" w:type="dxa"/>
          </w:tcPr>
          <w:p w14:paraId="7B376126" w14:textId="77777777" w:rsidR="00AF233B" w:rsidRPr="00362C24" w:rsidRDefault="00AF233B" w:rsidP="00BF6321">
            <w:pPr>
              <w:autoSpaceDE w:val="0"/>
              <w:autoSpaceDN w:val="0"/>
              <w:adjustRightInd w:val="0"/>
              <w:rPr>
                <w:rFonts w:ascii="Arial" w:hAnsi="Arial" w:cs="Arial"/>
              </w:rPr>
            </w:pPr>
            <w:r>
              <w:rPr>
                <w:rFonts w:ascii="Arial" w:hAnsi="Arial" w:cs="Arial"/>
              </w:rPr>
              <w:t xml:space="preserve">No es claro. </w:t>
            </w:r>
          </w:p>
        </w:tc>
      </w:tr>
      <w:tr w:rsidR="00AF233B" w14:paraId="4C513168" w14:textId="77777777" w:rsidTr="00247CDE">
        <w:trPr>
          <w:trHeight w:val="451"/>
        </w:trPr>
        <w:tc>
          <w:tcPr>
            <w:tcW w:w="3114" w:type="dxa"/>
          </w:tcPr>
          <w:p w14:paraId="38B7C1C0" w14:textId="77777777" w:rsidR="00AF233B" w:rsidRPr="00362C24" w:rsidRDefault="00AF233B" w:rsidP="00BF6321">
            <w:pPr>
              <w:rPr>
                <w:rFonts w:ascii="Arial" w:hAnsi="Arial" w:cs="Arial"/>
              </w:rPr>
            </w:pPr>
            <w:r>
              <w:rPr>
                <w:rFonts w:ascii="Arial" w:hAnsi="Arial" w:cs="Arial"/>
              </w:rPr>
              <w:t>Consideración del formato</w:t>
            </w:r>
          </w:p>
        </w:tc>
        <w:tc>
          <w:tcPr>
            <w:tcW w:w="1843" w:type="dxa"/>
            <w:shd w:val="clear" w:color="auto" w:fill="FFC000"/>
          </w:tcPr>
          <w:p w14:paraId="7C90BC36" w14:textId="77777777" w:rsidR="00AF233B" w:rsidRPr="00362C24" w:rsidRDefault="00AF233B" w:rsidP="00BF6321">
            <w:pPr>
              <w:autoSpaceDE w:val="0"/>
              <w:autoSpaceDN w:val="0"/>
              <w:adjustRightInd w:val="0"/>
              <w:rPr>
                <w:rFonts w:ascii="Arial" w:hAnsi="Arial" w:cs="Arial"/>
              </w:rPr>
            </w:pPr>
            <w:r>
              <w:rPr>
                <w:rFonts w:ascii="Arial" w:hAnsi="Arial" w:cs="Arial"/>
              </w:rPr>
              <w:t>Cumple con los requisitos</w:t>
            </w:r>
          </w:p>
        </w:tc>
        <w:tc>
          <w:tcPr>
            <w:tcW w:w="1842" w:type="dxa"/>
          </w:tcPr>
          <w:p w14:paraId="57915F2C" w14:textId="77777777" w:rsidR="00AF233B" w:rsidRPr="00362C24" w:rsidRDefault="00AF233B" w:rsidP="00BF6321">
            <w:pPr>
              <w:autoSpaceDE w:val="0"/>
              <w:autoSpaceDN w:val="0"/>
              <w:adjustRightInd w:val="0"/>
              <w:rPr>
                <w:rFonts w:ascii="Arial" w:hAnsi="Arial" w:cs="Arial"/>
              </w:rPr>
            </w:pPr>
          </w:p>
        </w:tc>
        <w:tc>
          <w:tcPr>
            <w:tcW w:w="1701" w:type="dxa"/>
          </w:tcPr>
          <w:p w14:paraId="7EFD090D" w14:textId="77777777" w:rsidR="00AF233B" w:rsidRPr="00362C24" w:rsidRDefault="00AF233B" w:rsidP="00BF6321">
            <w:pPr>
              <w:autoSpaceDE w:val="0"/>
              <w:autoSpaceDN w:val="0"/>
              <w:adjustRightInd w:val="0"/>
              <w:rPr>
                <w:rFonts w:ascii="Arial" w:hAnsi="Arial" w:cs="Arial"/>
              </w:rPr>
            </w:pPr>
            <w:r>
              <w:rPr>
                <w:rFonts w:ascii="Arial" w:hAnsi="Arial" w:cs="Arial"/>
              </w:rPr>
              <w:t>No cumple con los requisitos</w:t>
            </w:r>
          </w:p>
        </w:tc>
      </w:tr>
      <w:tr w:rsidR="00AF233B" w14:paraId="3EF40A8E" w14:textId="77777777" w:rsidTr="00247CDE">
        <w:trPr>
          <w:trHeight w:val="451"/>
        </w:trPr>
        <w:tc>
          <w:tcPr>
            <w:tcW w:w="3114" w:type="dxa"/>
          </w:tcPr>
          <w:p w14:paraId="61E13C05" w14:textId="77777777" w:rsidR="00AF233B" w:rsidRDefault="00AF233B" w:rsidP="00BF6321">
            <w:pPr>
              <w:rPr>
                <w:rFonts w:ascii="Arial" w:hAnsi="Arial" w:cs="Arial"/>
              </w:rPr>
            </w:pPr>
            <w:r>
              <w:rPr>
                <w:rFonts w:ascii="Arial" w:hAnsi="Arial" w:cs="Arial"/>
              </w:rPr>
              <w:t xml:space="preserve">Redacción </w:t>
            </w:r>
          </w:p>
        </w:tc>
        <w:tc>
          <w:tcPr>
            <w:tcW w:w="1843" w:type="dxa"/>
            <w:shd w:val="clear" w:color="auto" w:fill="FFC000"/>
          </w:tcPr>
          <w:p w14:paraId="18C87279" w14:textId="77777777" w:rsidR="00AF233B" w:rsidRDefault="00AF233B" w:rsidP="00BF6321">
            <w:pPr>
              <w:autoSpaceDE w:val="0"/>
              <w:autoSpaceDN w:val="0"/>
              <w:adjustRightInd w:val="0"/>
              <w:rPr>
                <w:rFonts w:ascii="Arial" w:hAnsi="Arial" w:cs="Arial"/>
              </w:rPr>
            </w:pPr>
            <w:r>
              <w:rPr>
                <w:rFonts w:ascii="Arial" w:hAnsi="Arial" w:cs="Arial"/>
              </w:rPr>
              <w:t>La redacción es apropiada.</w:t>
            </w:r>
          </w:p>
        </w:tc>
        <w:tc>
          <w:tcPr>
            <w:tcW w:w="1842" w:type="dxa"/>
          </w:tcPr>
          <w:p w14:paraId="5CDC3996" w14:textId="77777777" w:rsidR="00AF233B" w:rsidRPr="00362C24" w:rsidRDefault="00AF233B" w:rsidP="00BF6321">
            <w:pPr>
              <w:autoSpaceDE w:val="0"/>
              <w:autoSpaceDN w:val="0"/>
              <w:adjustRightInd w:val="0"/>
              <w:rPr>
                <w:rFonts w:ascii="Arial" w:hAnsi="Arial" w:cs="Arial"/>
              </w:rPr>
            </w:pPr>
            <w:r>
              <w:rPr>
                <w:rFonts w:ascii="Arial" w:hAnsi="Arial" w:cs="Arial"/>
              </w:rPr>
              <w:t>La redacción es medianamente apropiada</w:t>
            </w:r>
          </w:p>
        </w:tc>
        <w:tc>
          <w:tcPr>
            <w:tcW w:w="1701" w:type="dxa"/>
          </w:tcPr>
          <w:p w14:paraId="079A2116" w14:textId="77777777" w:rsidR="00AF233B" w:rsidRDefault="00AF233B" w:rsidP="00BF6321">
            <w:pPr>
              <w:autoSpaceDE w:val="0"/>
              <w:autoSpaceDN w:val="0"/>
              <w:adjustRightInd w:val="0"/>
              <w:rPr>
                <w:rFonts w:ascii="Arial" w:hAnsi="Arial" w:cs="Arial"/>
              </w:rPr>
            </w:pPr>
            <w:r>
              <w:rPr>
                <w:rFonts w:ascii="Arial" w:hAnsi="Arial" w:cs="Arial"/>
              </w:rPr>
              <w:t>La redacción no es apropiada.</w:t>
            </w:r>
          </w:p>
        </w:tc>
      </w:tr>
    </w:tbl>
    <w:p w14:paraId="3754CFB1" w14:textId="77777777" w:rsidR="00B57A66" w:rsidRDefault="00B57A66">
      <w:pPr>
        <w:jc w:val="both"/>
      </w:pPr>
    </w:p>
    <w:p w14:paraId="4BB08221" w14:textId="77777777" w:rsidR="00B57A66" w:rsidRDefault="00B57A66">
      <w:pPr>
        <w:jc w:val="both"/>
      </w:pPr>
    </w:p>
    <w:p w14:paraId="4D7D1B1B" w14:textId="77777777" w:rsidR="00B57A66" w:rsidRDefault="00B57A66">
      <w:pPr>
        <w:jc w:val="both"/>
      </w:pPr>
    </w:p>
    <w:p w14:paraId="5385C2F5" w14:textId="77777777" w:rsidR="00B57A66" w:rsidRDefault="00B57A66">
      <w:pPr>
        <w:jc w:val="both"/>
      </w:pPr>
    </w:p>
    <w:p w14:paraId="4D951D46" w14:textId="77777777" w:rsidR="00B57A66" w:rsidRDefault="00B57A66">
      <w:pPr>
        <w:jc w:val="both"/>
      </w:pPr>
    </w:p>
    <w:p w14:paraId="6C90F253" w14:textId="77777777" w:rsidR="00B57A66" w:rsidRDefault="00B57A66">
      <w:pPr>
        <w:jc w:val="both"/>
      </w:pPr>
    </w:p>
    <w:p w14:paraId="0FAD4993" w14:textId="77777777" w:rsidR="00B57A66" w:rsidRDefault="00B57A66">
      <w:pPr>
        <w:jc w:val="both"/>
      </w:pPr>
    </w:p>
    <w:p w14:paraId="05EC43C7" w14:textId="77777777" w:rsidR="00B57A66" w:rsidRDefault="00B57A66"/>
    <w:p w14:paraId="53F0E5AF" w14:textId="77777777" w:rsidR="00B57A66" w:rsidRDefault="00B57A66"/>
    <w:sectPr w:rsidR="00B57A66">
      <w:headerReference w:type="default" r:id="rId9"/>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ía Belén Tapia De la Fuente" w:date="2020-11-04T19:59:00Z" w:initials="MBTDlF">
    <w:p w14:paraId="452424D5" w14:textId="258A79AF" w:rsidR="00881DF9" w:rsidRDefault="00881DF9">
      <w:pPr>
        <w:pStyle w:val="Textocomentario"/>
      </w:pPr>
      <w:r>
        <w:rPr>
          <w:rStyle w:val="Refdecomentario"/>
        </w:rPr>
        <w:annotationRef/>
      </w:r>
      <w:r>
        <w:t xml:space="preserve">Están en las referencias pero no en el texto.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2424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2BB72" w14:textId="77777777" w:rsidR="002B7CD2" w:rsidRDefault="002B7CD2">
      <w:pPr>
        <w:spacing w:line="240" w:lineRule="auto"/>
      </w:pPr>
      <w:r>
        <w:separator/>
      </w:r>
    </w:p>
  </w:endnote>
  <w:endnote w:type="continuationSeparator" w:id="0">
    <w:p w14:paraId="68F4142D" w14:textId="77777777" w:rsidR="002B7CD2" w:rsidRDefault="002B7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79AFD" w14:textId="77777777" w:rsidR="002B7CD2" w:rsidRDefault="002B7CD2">
      <w:pPr>
        <w:spacing w:line="240" w:lineRule="auto"/>
      </w:pPr>
      <w:r>
        <w:separator/>
      </w:r>
    </w:p>
  </w:footnote>
  <w:footnote w:type="continuationSeparator" w:id="0">
    <w:p w14:paraId="1CDAB7D6" w14:textId="77777777" w:rsidR="002B7CD2" w:rsidRDefault="002B7C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E7C9" w14:textId="77777777" w:rsidR="00B57A66" w:rsidRDefault="00B57A66"/>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66"/>
    <w:rsid w:val="00247CDE"/>
    <w:rsid w:val="002B7CD2"/>
    <w:rsid w:val="0037748D"/>
    <w:rsid w:val="00773E2D"/>
    <w:rsid w:val="00881DF9"/>
    <w:rsid w:val="00AF233B"/>
    <w:rsid w:val="00B57A66"/>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6168"/>
  <w15:docId w15:val="{6E316569-5DA5-48D7-9F32-90E44735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AF233B"/>
    <w:pPr>
      <w:spacing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81DF9"/>
    <w:rPr>
      <w:sz w:val="16"/>
      <w:szCs w:val="16"/>
    </w:rPr>
  </w:style>
  <w:style w:type="paragraph" w:styleId="Textocomentario">
    <w:name w:val="annotation text"/>
    <w:basedOn w:val="Normal"/>
    <w:link w:val="TextocomentarioCar"/>
    <w:uiPriority w:val="99"/>
    <w:semiHidden/>
    <w:unhideWhenUsed/>
    <w:rsid w:val="00881D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1DF9"/>
    <w:rPr>
      <w:sz w:val="20"/>
      <w:szCs w:val="20"/>
    </w:rPr>
  </w:style>
  <w:style w:type="paragraph" w:styleId="Asuntodelcomentario">
    <w:name w:val="annotation subject"/>
    <w:basedOn w:val="Textocomentario"/>
    <w:next w:val="Textocomentario"/>
    <w:link w:val="AsuntodelcomentarioCar"/>
    <w:uiPriority w:val="99"/>
    <w:semiHidden/>
    <w:unhideWhenUsed/>
    <w:rsid w:val="00881DF9"/>
    <w:rPr>
      <w:b/>
      <w:bCs/>
    </w:rPr>
  </w:style>
  <w:style w:type="character" w:customStyle="1" w:styleId="AsuntodelcomentarioCar">
    <w:name w:val="Asunto del comentario Car"/>
    <w:basedOn w:val="TextocomentarioCar"/>
    <w:link w:val="Asuntodelcomentario"/>
    <w:uiPriority w:val="99"/>
    <w:semiHidden/>
    <w:rsid w:val="00881DF9"/>
    <w:rPr>
      <w:b/>
      <w:bCs/>
      <w:sz w:val="20"/>
      <w:szCs w:val="20"/>
    </w:rPr>
  </w:style>
  <w:style w:type="paragraph" w:styleId="Textodeglobo">
    <w:name w:val="Balloon Text"/>
    <w:basedOn w:val="Normal"/>
    <w:link w:val="TextodegloboCar"/>
    <w:uiPriority w:val="99"/>
    <w:semiHidden/>
    <w:unhideWhenUsed/>
    <w:rsid w:val="00881DF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1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1464</Words>
  <Characters>8054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Belén Tapia De la Fuente</cp:lastModifiedBy>
  <cp:revision>3</cp:revision>
  <dcterms:created xsi:type="dcterms:W3CDTF">2020-10-27T19:15:00Z</dcterms:created>
  <dcterms:modified xsi:type="dcterms:W3CDTF">2020-11-04T23:03:00Z</dcterms:modified>
</cp:coreProperties>
</file>