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44C24" w14:textId="77777777" w:rsidR="00A2252B" w:rsidRDefault="002B46A1">
      <w:r>
        <w:rPr>
          <w:noProof/>
          <w:lang w:val="es-ES"/>
        </w:rPr>
        <w:drawing>
          <wp:inline distT="114300" distB="114300" distL="114300" distR="114300" wp14:anchorId="57F74285" wp14:editId="43BFDBDB">
            <wp:extent cx="1033463" cy="221456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33463" cy="2214563"/>
                    </a:xfrm>
                    <a:prstGeom prst="rect">
                      <a:avLst/>
                    </a:prstGeom>
                    <a:ln/>
                  </pic:spPr>
                </pic:pic>
              </a:graphicData>
            </a:graphic>
          </wp:inline>
        </w:drawing>
      </w:r>
    </w:p>
    <w:p w14:paraId="4059B65A" w14:textId="77777777" w:rsidR="00A2252B" w:rsidRDefault="002B46A1">
      <w:pPr>
        <w:spacing w:line="240" w:lineRule="auto"/>
        <w:rPr>
          <w:sz w:val="24"/>
          <w:szCs w:val="24"/>
        </w:rPr>
      </w:pPr>
      <w:r>
        <w:rPr>
          <w:sz w:val="24"/>
          <w:szCs w:val="24"/>
        </w:rPr>
        <w:t>Universidad de Chile</w:t>
      </w:r>
    </w:p>
    <w:p w14:paraId="4CB57A27" w14:textId="77777777" w:rsidR="00A2252B" w:rsidRDefault="002B46A1">
      <w:pPr>
        <w:spacing w:line="240" w:lineRule="auto"/>
        <w:rPr>
          <w:sz w:val="24"/>
          <w:szCs w:val="24"/>
        </w:rPr>
      </w:pPr>
      <w:r>
        <w:rPr>
          <w:sz w:val="24"/>
          <w:szCs w:val="24"/>
        </w:rPr>
        <w:t>Facultad de Ciencias Sociales</w:t>
      </w:r>
    </w:p>
    <w:p w14:paraId="691C13BD" w14:textId="77777777" w:rsidR="00A2252B" w:rsidRDefault="002B46A1">
      <w:pPr>
        <w:spacing w:line="240" w:lineRule="auto"/>
        <w:rPr>
          <w:sz w:val="24"/>
          <w:szCs w:val="24"/>
        </w:rPr>
      </w:pPr>
      <w:r>
        <w:rPr>
          <w:sz w:val="24"/>
          <w:szCs w:val="24"/>
        </w:rPr>
        <w:t>Departamento de Psicología</w:t>
      </w:r>
    </w:p>
    <w:p w14:paraId="752E373D" w14:textId="77777777" w:rsidR="00A2252B" w:rsidRDefault="002B46A1">
      <w:pPr>
        <w:spacing w:line="240" w:lineRule="auto"/>
        <w:rPr>
          <w:sz w:val="24"/>
          <w:szCs w:val="24"/>
        </w:rPr>
      </w:pPr>
      <w:r>
        <w:rPr>
          <w:sz w:val="24"/>
          <w:szCs w:val="24"/>
        </w:rPr>
        <w:t>Diplomado de Psicología Comunitaria</w:t>
      </w:r>
    </w:p>
    <w:p w14:paraId="090A097D" w14:textId="77777777" w:rsidR="00A2252B" w:rsidRDefault="002B46A1">
      <w:pPr>
        <w:spacing w:line="240" w:lineRule="auto"/>
        <w:rPr>
          <w:sz w:val="24"/>
          <w:szCs w:val="24"/>
        </w:rPr>
      </w:pPr>
      <w:r>
        <w:rPr>
          <w:sz w:val="24"/>
          <w:szCs w:val="24"/>
        </w:rPr>
        <w:t>Estrategias de Acción desde un Enfoque Comunitario</w:t>
      </w:r>
    </w:p>
    <w:p w14:paraId="611AAA4B" w14:textId="77777777" w:rsidR="00A2252B" w:rsidRDefault="00A2252B">
      <w:pPr>
        <w:jc w:val="center"/>
        <w:rPr>
          <w:b/>
          <w:sz w:val="24"/>
          <w:szCs w:val="24"/>
        </w:rPr>
      </w:pPr>
    </w:p>
    <w:p w14:paraId="5703EDB0" w14:textId="77777777" w:rsidR="00A2252B" w:rsidRDefault="00A2252B">
      <w:pPr>
        <w:jc w:val="center"/>
        <w:rPr>
          <w:b/>
          <w:sz w:val="24"/>
          <w:szCs w:val="24"/>
        </w:rPr>
      </w:pPr>
    </w:p>
    <w:p w14:paraId="4CC26F19" w14:textId="77777777" w:rsidR="00A2252B" w:rsidRDefault="00A2252B">
      <w:pPr>
        <w:jc w:val="center"/>
        <w:rPr>
          <w:b/>
          <w:sz w:val="24"/>
          <w:szCs w:val="24"/>
        </w:rPr>
      </w:pPr>
    </w:p>
    <w:p w14:paraId="5A2CFD14" w14:textId="77777777" w:rsidR="00A2252B" w:rsidRDefault="00A2252B">
      <w:pPr>
        <w:jc w:val="center"/>
        <w:rPr>
          <w:b/>
          <w:sz w:val="24"/>
          <w:szCs w:val="24"/>
        </w:rPr>
      </w:pPr>
    </w:p>
    <w:p w14:paraId="0AF5D0CB" w14:textId="77777777" w:rsidR="00A2252B" w:rsidRDefault="00A2252B">
      <w:pPr>
        <w:jc w:val="center"/>
        <w:rPr>
          <w:b/>
          <w:sz w:val="24"/>
          <w:szCs w:val="24"/>
        </w:rPr>
      </w:pPr>
    </w:p>
    <w:p w14:paraId="1357BE23" w14:textId="77777777" w:rsidR="00A2252B" w:rsidRDefault="00A2252B">
      <w:pPr>
        <w:rPr>
          <w:b/>
          <w:sz w:val="24"/>
          <w:szCs w:val="24"/>
        </w:rPr>
      </w:pPr>
    </w:p>
    <w:p w14:paraId="2825F5A5" w14:textId="77777777" w:rsidR="00A2252B" w:rsidRDefault="002B46A1">
      <w:pPr>
        <w:rPr>
          <w:sz w:val="24"/>
          <w:szCs w:val="24"/>
        </w:rPr>
      </w:pPr>
      <w:r>
        <w:rPr>
          <w:sz w:val="24"/>
          <w:szCs w:val="24"/>
        </w:rPr>
        <w:t xml:space="preserve">                        </w:t>
      </w:r>
    </w:p>
    <w:p w14:paraId="534D85DE" w14:textId="77777777" w:rsidR="00A2252B" w:rsidRDefault="00A2252B">
      <w:pPr>
        <w:rPr>
          <w:sz w:val="24"/>
          <w:szCs w:val="24"/>
        </w:rPr>
      </w:pPr>
    </w:p>
    <w:p w14:paraId="60158810" w14:textId="77777777" w:rsidR="00A2252B" w:rsidRDefault="00A2252B">
      <w:pPr>
        <w:rPr>
          <w:sz w:val="24"/>
          <w:szCs w:val="24"/>
        </w:rPr>
      </w:pPr>
    </w:p>
    <w:p w14:paraId="3511B5AA" w14:textId="77777777" w:rsidR="00A2252B" w:rsidRDefault="00A2252B">
      <w:pPr>
        <w:rPr>
          <w:sz w:val="24"/>
          <w:szCs w:val="24"/>
        </w:rPr>
      </w:pPr>
    </w:p>
    <w:p w14:paraId="03730B29" w14:textId="77777777" w:rsidR="00A2252B" w:rsidRDefault="00A2252B">
      <w:pPr>
        <w:rPr>
          <w:sz w:val="24"/>
          <w:szCs w:val="24"/>
        </w:rPr>
      </w:pPr>
    </w:p>
    <w:p w14:paraId="6F7FD38C" w14:textId="77777777" w:rsidR="00A2252B" w:rsidRDefault="002B46A1">
      <w:pPr>
        <w:rPr>
          <w:sz w:val="36"/>
          <w:szCs w:val="36"/>
        </w:rPr>
      </w:pPr>
      <w:r>
        <w:rPr>
          <w:sz w:val="24"/>
          <w:szCs w:val="24"/>
        </w:rPr>
        <w:t xml:space="preserve">                            </w:t>
      </w:r>
      <w:r>
        <w:rPr>
          <w:sz w:val="36"/>
          <w:szCs w:val="36"/>
        </w:rPr>
        <w:t>¿Qué entendemos por Salud Mental?</w:t>
      </w:r>
    </w:p>
    <w:p w14:paraId="15E38FC8" w14:textId="77777777" w:rsidR="00A2252B" w:rsidRDefault="00A2252B">
      <w:pPr>
        <w:rPr>
          <w:sz w:val="36"/>
          <w:szCs w:val="36"/>
        </w:rPr>
      </w:pPr>
    </w:p>
    <w:p w14:paraId="560FB11D" w14:textId="77777777" w:rsidR="00A2252B" w:rsidRDefault="00A2252B">
      <w:pPr>
        <w:rPr>
          <w:sz w:val="36"/>
          <w:szCs w:val="36"/>
        </w:rPr>
      </w:pPr>
    </w:p>
    <w:p w14:paraId="330A8DFC" w14:textId="77777777" w:rsidR="00A2252B" w:rsidRDefault="00A2252B">
      <w:pPr>
        <w:rPr>
          <w:sz w:val="36"/>
          <w:szCs w:val="36"/>
        </w:rPr>
      </w:pPr>
    </w:p>
    <w:p w14:paraId="36F5DE54" w14:textId="77777777" w:rsidR="00A2252B" w:rsidRDefault="00A2252B">
      <w:pPr>
        <w:rPr>
          <w:sz w:val="36"/>
          <w:szCs w:val="36"/>
        </w:rPr>
      </w:pPr>
    </w:p>
    <w:p w14:paraId="115F17EE" w14:textId="77777777" w:rsidR="00A2252B" w:rsidRDefault="00A2252B">
      <w:pPr>
        <w:rPr>
          <w:sz w:val="24"/>
          <w:szCs w:val="24"/>
        </w:rPr>
      </w:pPr>
    </w:p>
    <w:p w14:paraId="0825D005" w14:textId="77777777" w:rsidR="00A2252B" w:rsidRDefault="00A2252B">
      <w:pPr>
        <w:rPr>
          <w:sz w:val="24"/>
          <w:szCs w:val="24"/>
        </w:rPr>
      </w:pPr>
    </w:p>
    <w:p w14:paraId="2DA9F907" w14:textId="77777777" w:rsidR="00A2252B" w:rsidRDefault="00A2252B">
      <w:pPr>
        <w:rPr>
          <w:sz w:val="24"/>
          <w:szCs w:val="24"/>
        </w:rPr>
      </w:pPr>
    </w:p>
    <w:p w14:paraId="6CC357A2" w14:textId="77777777" w:rsidR="00A2252B" w:rsidRDefault="002B46A1">
      <w:pPr>
        <w:rPr>
          <w:sz w:val="24"/>
          <w:szCs w:val="24"/>
        </w:rPr>
      </w:pPr>
      <w:r>
        <w:rPr>
          <w:sz w:val="24"/>
          <w:szCs w:val="24"/>
        </w:rPr>
        <w:t xml:space="preserve">Autores:  Yerko Figueroa </w:t>
      </w:r>
    </w:p>
    <w:p w14:paraId="1D05D6BE" w14:textId="77777777" w:rsidR="00A2252B" w:rsidRDefault="002B46A1">
      <w:pPr>
        <w:rPr>
          <w:sz w:val="24"/>
          <w:szCs w:val="24"/>
        </w:rPr>
      </w:pPr>
      <w:r>
        <w:rPr>
          <w:sz w:val="24"/>
          <w:szCs w:val="24"/>
        </w:rPr>
        <w:t xml:space="preserve">             </w:t>
      </w:r>
    </w:p>
    <w:p w14:paraId="040BF84A" w14:textId="77777777" w:rsidR="00A2252B" w:rsidRDefault="002B46A1">
      <w:pPr>
        <w:rPr>
          <w:sz w:val="24"/>
          <w:szCs w:val="24"/>
        </w:rPr>
      </w:pPr>
      <w:r>
        <w:rPr>
          <w:sz w:val="24"/>
          <w:szCs w:val="24"/>
        </w:rPr>
        <w:t xml:space="preserve">               Francisco </w:t>
      </w:r>
      <w:proofErr w:type="spellStart"/>
      <w:r>
        <w:rPr>
          <w:sz w:val="24"/>
          <w:szCs w:val="24"/>
        </w:rPr>
        <w:t>Grunert</w:t>
      </w:r>
      <w:proofErr w:type="spellEnd"/>
    </w:p>
    <w:p w14:paraId="5A40EA60" w14:textId="77777777" w:rsidR="00A2252B" w:rsidRDefault="00A2252B">
      <w:pPr>
        <w:jc w:val="center"/>
        <w:rPr>
          <w:b/>
          <w:sz w:val="24"/>
          <w:szCs w:val="24"/>
        </w:rPr>
      </w:pPr>
    </w:p>
    <w:p w14:paraId="076C4742" w14:textId="77777777" w:rsidR="00A2252B" w:rsidRDefault="002B46A1">
      <w:pPr>
        <w:rPr>
          <w:sz w:val="24"/>
          <w:szCs w:val="24"/>
        </w:rPr>
      </w:pPr>
      <w:r>
        <w:rPr>
          <w:b/>
          <w:sz w:val="24"/>
          <w:szCs w:val="24"/>
        </w:rPr>
        <w:t xml:space="preserve">           </w:t>
      </w:r>
    </w:p>
    <w:p w14:paraId="5FF67568" w14:textId="77777777" w:rsidR="00E45BB1" w:rsidRDefault="00E45BB1">
      <w:pPr>
        <w:spacing w:line="240" w:lineRule="auto"/>
        <w:ind w:firstLine="720"/>
        <w:jc w:val="both"/>
        <w:rPr>
          <w:sz w:val="24"/>
          <w:szCs w:val="24"/>
        </w:rPr>
      </w:pPr>
    </w:p>
    <w:p w14:paraId="0D030D19" w14:textId="77777777" w:rsidR="00A2252B" w:rsidRDefault="002B46A1">
      <w:pPr>
        <w:spacing w:line="240" w:lineRule="auto"/>
        <w:ind w:firstLine="720"/>
        <w:jc w:val="both"/>
        <w:rPr>
          <w:sz w:val="24"/>
          <w:szCs w:val="24"/>
        </w:rPr>
      </w:pPr>
      <w:r>
        <w:rPr>
          <w:sz w:val="24"/>
          <w:szCs w:val="24"/>
        </w:rPr>
        <w:lastRenderedPageBreak/>
        <w:t xml:space="preserve">En base a la actividad realizada en la clase del día 13 de agosto, en el presente ensayo responderemos a uno de esos cuestionamientos, </w:t>
      </w:r>
      <w:r w:rsidR="00E45BB1">
        <w:rPr>
          <w:sz w:val="24"/>
          <w:szCs w:val="24"/>
        </w:rPr>
        <w:t>específicamente a</w:t>
      </w:r>
      <w:r>
        <w:rPr>
          <w:sz w:val="24"/>
          <w:szCs w:val="24"/>
        </w:rPr>
        <w:t xml:space="preserve"> la pregunta </w:t>
      </w:r>
      <w:r>
        <w:rPr>
          <w:b/>
          <w:sz w:val="24"/>
          <w:szCs w:val="24"/>
        </w:rPr>
        <w:t>¿Qué entendemos por salud mental?</w:t>
      </w:r>
      <w:r>
        <w:rPr>
          <w:sz w:val="24"/>
          <w:szCs w:val="24"/>
        </w:rPr>
        <w:t xml:space="preserve"> Para elaborar nuestra respuesta, analizaremos la definición propuesta en la guía “Salud Mental Gestión de la Crisis” (Martínez, 2020), con la finalidad de enriquecer la </w:t>
      </w:r>
      <w:r w:rsidR="00E45BB1">
        <w:rPr>
          <w:sz w:val="24"/>
          <w:szCs w:val="24"/>
        </w:rPr>
        <w:t>noción</w:t>
      </w:r>
      <w:r>
        <w:rPr>
          <w:sz w:val="24"/>
          <w:szCs w:val="24"/>
        </w:rPr>
        <w:t xml:space="preserve"> que se tiene del mismo.</w:t>
      </w:r>
    </w:p>
    <w:p w14:paraId="491A244A" w14:textId="77777777" w:rsidR="00A2252B" w:rsidRDefault="002B46A1">
      <w:pPr>
        <w:spacing w:line="240" w:lineRule="auto"/>
        <w:ind w:firstLine="720"/>
        <w:jc w:val="both"/>
        <w:rPr>
          <w:color w:val="333333"/>
          <w:sz w:val="24"/>
          <w:szCs w:val="24"/>
          <w:highlight w:val="white"/>
        </w:rPr>
      </w:pPr>
      <w:commentRangeStart w:id="0"/>
      <w:r>
        <w:rPr>
          <w:sz w:val="24"/>
          <w:szCs w:val="24"/>
        </w:rPr>
        <w:t xml:space="preserve">La idea de salud mental ha sido un concepto muchas veces manoseado por la comunidad del conocimiento, es decir, aquellas personas que pertenecen a un mundo científico-profesionalizante y que producen conocimiento en instituciones académicas bajo el alero de un saber experto. </w:t>
      </w:r>
      <w:commentRangeEnd w:id="0"/>
      <w:r w:rsidR="00FC1102">
        <w:rPr>
          <w:rStyle w:val="Refdecomentario"/>
        </w:rPr>
        <w:commentReference w:id="0"/>
      </w:r>
      <w:r>
        <w:rPr>
          <w:sz w:val="24"/>
          <w:szCs w:val="24"/>
        </w:rPr>
        <w:t xml:space="preserve">En la temática de la salud </w:t>
      </w:r>
      <w:r w:rsidR="00E45BB1">
        <w:rPr>
          <w:sz w:val="24"/>
          <w:szCs w:val="24"/>
        </w:rPr>
        <w:t>mental, son</w:t>
      </w:r>
      <w:r>
        <w:rPr>
          <w:sz w:val="24"/>
          <w:szCs w:val="24"/>
        </w:rPr>
        <w:t xml:space="preserve"> los psicólogos, psiquiatras, trabajadores sociales, etc., los encargados </w:t>
      </w:r>
      <w:r w:rsidR="00E45BB1">
        <w:rPr>
          <w:sz w:val="24"/>
          <w:szCs w:val="24"/>
        </w:rPr>
        <w:t>de establecer</w:t>
      </w:r>
      <w:r>
        <w:rPr>
          <w:sz w:val="24"/>
          <w:szCs w:val="24"/>
        </w:rPr>
        <w:t xml:space="preserve"> parámetros y definiciones en un lenguaje técnico. Esto lo podemos observar en la definición de</w:t>
      </w:r>
      <w:r>
        <w:rPr>
          <w:sz w:val="24"/>
          <w:szCs w:val="24"/>
          <w:highlight w:val="white"/>
        </w:rPr>
        <w:t xml:space="preserve"> salud mental presente en la guía, donde se define como</w:t>
      </w:r>
      <w:r>
        <w:rPr>
          <w:color w:val="333333"/>
          <w:sz w:val="24"/>
          <w:szCs w:val="24"/>
          <w:highlight w:val="white"/>
        </w:rPr>
        <w:t xml:space="preserve"> </w:t>
      </w:r>
    </w:p>
    <w:p w14:paraId="0AEF0B2B" w14:textId="77777777" w:rsidR="00A2252B" w:rsidRDefault="00A2252B">
      <w:pPr>
        <w:spacing w:line="240" w:lineRule="auto"/>
        <w:ind w:firstLine="720"/>
        <w:jc w:val="both"/>
        <w:rPr>
          <w:color w:val="333333"/>
          <w:sz w:val="24"/>
          <w:szCs w:val="24"/>
          <w:highlight w:val="white"/>
        </w:rPr>
      </w:pPr>
    </w:p>
    <w:p w14:paraId="0F8C33C3" w14:textId="77777777" w:rsidR="00A2252B" w:rsidRDefault="002B46A1">
      <w:pPr>
        <w:spacing w:line="240" w:lineRule="auto"/>
        <w:ind w:left="720"/>
        <w:jc w:val="both"/>
        <w:rPr>
          <w:sz w:val="24"/>
          <w:szCs w:val="24"/>
        </w:rPr>
      </w:pPr>
      <w:r>
        <w:rPr>
          <w:sz w:val="24"/>
          <w:szCs w:val="24"/>
        </w:rPr>
        <w:t xml:space="preserve">la capacidad de las personas y de los grupos para interactuar entre sí y con el medio ambiente, de modo de promover el bienestar subjetivo, el desarrollo y uso óptimo de las potencialidades psicológicas (cognitivas, afectivas, relacionales), el logro de las metas individuales y colectivas, en concordancia con la justicia y el bien común. (Martínez, 2020, p. 2). </w:t>
      </w:r>
    </w:p>
    <w:p w14:paraId="10AA69BA" w14:textId="77777777" w:rsidR="00A2252B" w:rsidRDefault="00A2252B">
      <w:pPr>
        <w:spacing w:line="240" w:lineRule="auto"/>
        <w:jc w:val="both"/>
        <w:rPr>
          <w:sz w:val="24"/>
          <w:szCs w:val="24"/>
        </w:rPr>
      </w:pPr>
    </w:p>
    <w:p w14:paraId="74A6CCA6" w14:textId="77777777" w:rsidR="00A2252B" w:rsidRDefault="002B46A1">
      <w:pPr>
        <w:spacing w:line="240" w:lineRule="auto"/>
        <w:ind w:firstLine="720"/>
        <w:jc w:val="both"/>
        <w:rPr>
          <w:sz w:val="24"/>
          <w:szCs w:val="24"/>
        </w:rPr>
      </w:pPr>
      <w:r>
        <w:rPr>
          <w:sz w:val="24"/>
          <w:szCs w:val="24"/>
        </w:rPr>
        <w:t xml:space="preserve">En esta definición, podemos apreciar algunas ideas que, para poder entenderlas en su totalidad, requieren un desarrollo conceptual previo, debido a su tecnicidad. En particular, el concepto de “potencialidades psicológicas”, y sus dimensiones cognitivas, afectivas y relacionales, necesita estar sustentado por un conocimiento teórico previo sobre estas ideas. Hay que saber que significan cada una de estas ideas, para poder comprenderlas en conjunto, vinculadas a la idea de “potencialidades”. De esta forma, si no se tienen conocimientos y/o nociones básicas de psicología, puede resultar muy difícil tratar de entender no solamente este concepto, sino toda la definición, ya que la idea de “potencialidades psicológicas” es un elemento clave en esta idea sobre salud mental. Además, lo mismo se podría decir de otros conceptos de la definición, tales como “bienestar subjetivo”. Se necesita un conocimiento previo para entender estas ideas y así comprender la definición. El problema aquí es que este conocimiento previo no está al alcance de </w:t>
      </w:r>
      <w:proofErr w:type="spellStart"/>
      <w:r>
        <w:rPr>
          <w:sz w:val="24"/>
          <w:szCs w:val="24"/>
        </w:rPr>
        <w:t>todxs</w:t>
      </w:r>
      <w:proofErr w:type="spellEnd"/>
      <w:r>
        <w:rPr>
          <w:sz w:val="24"/>
          <w:szCs w:val="24"/>
        </w:rPr>
        <w:t xml:space="preserve">, sino que está reservado para el mundo científico-profesional, quienes producen saber experto y </w:t>
      </w:r>
      <w:proofErr w:type="spellStart"/>
      <w:r>
        <w:rPr>
          <w:sz w:val="24"/>
          <w:szCs w:val="24"/>
        </w:rPr>
        <w:t>elitizado</w:t>
      </w:r>
      <w:proofErr w:type="spellEnd"/>
      <w:r>
        <w:rPr>
          <w:sz w:val="24"/>
          <w:szCs w:val="24"/>
        </w:rPr>
        <w:t xml:space="preserve"> que termina alejando a las personas “comunes y corrientes”, ajenas a esta comunidad, de aprender, participar y actuar en torno a la construcción del conocimiento que realizamos </w:t>
      </w:r>
      <w:proofErr w:type="spellStart"/>
      <w:r>
        <w:rPr>
          <w:sz w:val="24"/>
          <w:szCs w:val="24"/>
        </w:rPr>
        <w:t>nosotrxs</w:t>
      </w:r>
      <w:proofErr w:type="spellEnd"/>
      <w:r>
        <w:rPr>
          <w:sz w:val="24"/>
          <w:szCs w:val="24"/>
        </w:rPr>
        <w:t xml:space="preserve"> como miembros de esta comunidad, supuestos “expertos” en salud mental. </w:t>
      </w:r>
    </w:p>
    <w:p w14:paraId="3E05F278" w14:textId="77777777" w:rsidR="00A2252B" w:rsidRDefault="002B46A1">
      <w:pPr>
        <w:spacing w:line="240" w:lineRule="auto"/>
        <w:ind w:firstLine="720"/>
        <w:jc w:val="both"/>
        <w:rPr>
          <w:sz w:val="24"/>
          <w:szCs w:val="24"/>
        </w:rPr>
      </w:pPr>
      <w:r>
        <w:rPr>
          <w:sz w:val="24"/>
          <w:szCs w:val="24"/>
        </w:rPr>
        <w:t xml:space="preserve">En este contexto, para responder a la pregunta acerca de lo que entendemos por salud mental, más que plantear una definición técnica y universal, queremos proponer algunas orientaciones prácticas </w:t>
      </w:r>
      <w:r w:rsidR="00E45BB1">
        <w:rPr>
          <w:sz w:val="24"/>
          <w:szCs w:val="24"/>
        </w:rPr>
        <w:t>relacionadas principalmente</w:t>
      </w:r>
      <w:r>
        <w:rPr>
          <w:sz w:val="24"/>
          <w:szCs w:val="24"/>
        </w:rPr>
        <w:t xml:space="preserve"> con la visión de salud mental positiva que propone el texto, con la finalidad de situar y aproximar el conocimiento a las personas que se encuentran fuera de nuestro mundo científico-profesional. En otras palabras, queremos proponer ideas para enriquecer la definición propuesta por la guía, de una manera en que esta misma se acerque a la realidad concreta y cotidiana que se encuentra fuera de la comunidad del conocimiento psicológico. En este sentido, las orientaciones que proponemos son las siguientes:</w:t>
      </w:r>
    </w:p>
    <w:p w14:paraId="0533AA4F" w14:textId="77777777" w:rsidR="00A2252B" w:rsidRDefault="00A2252B">
      <w:pPr>
        <w:spacing w:line="240" w:lineRule="auto"/>
        <w:ind w:firstLine="720"/>
        <w:jc w:val="both"/>
        <w:rPr>
          <w:sz w:val="24"/>
          <w:szCs w:val="24"/>
        </w:rPr>
      </w:pPr>
    </w:p>
    <w:p w14:paraId="2A193B78" w14:textId="77777777" w:rsidR="00A2252B" w:rsidRDefault="002B46A1">
      <w:pPr>
        <w:numPr>
          <w:ilvl w:val="0"/>
          <w:numId w:val="1"/>
        </w:numPr>
        <w:spacing w:line="240" w:lineRule="auto"/>
        <w:jc w:val="both"/>
        <w:rPr>
          <w:sz w:val="24"/>
          <w:szCs w:val="24"/>
        </w:rPr>
      </w:pPr>
      <w:r>
        <w:rPr>
          <w:sz w:val="24"/>
          <w:szCs w:val="24"/>
        </w:rPr>
        <w:t>Potenciar la participación social en la construcción del conocimiento: esto con la finalidad de des-</w:t>
      </w:r>
      <w:proofErr w:type="spellStart"/>
      <w:r>
        <w:rPr>
          <w:sz w:val="24"/>
          <w:szCs w:val="24"/>
        </w:rPr>
        <w:t>elitizar</w:t>
      </w:r>
      <w:proofErr w:type="spellEnd"/>
      <w:r>
        <w:rPr>
          <w:sz w:val="24"/>
          <w:szCs w:val="24"/>
        </w:rPr>
        <w:t xml:space="preserve"> y des-</w:t>
      </w:r>
      <w:proofErr w:type="spellStart"/>
      <w:r>
        <w:rPr>
          <w:sz w:val="24"/>
          <w:szCs w:val="24"/>
        </w:rPr>
        <w:t>sectarizar</w:t>
      </w:r>
      <w:proofErr w:type="spellEnd"/>
      <w:r>
        <w:rPr>
          <w:sz w:val="24"/>
          <w:szCs w:val="24"/>
        </w:rPr>
        <w:t xml:space="preserve"> los saberes, abriendo espacios comunes donde todo el mundo pueda aportar con sus conocimientos. </w:t>
      </w:r>
    </w:p>
    <w:p w14:paraId="250B28DC" w14:textId="77777777" w:rsidR="00A2252B" w:rsidRDefault="002B46A1">
      <w:pPr>
        <w:numPr>
          <w:ilvl w:val="0"/>
          <w:numId w:val="1"/>
        </w:numPr>
        <w:spacing w:line="240" w:lineRule="auto"/>
        <w:jc w:val="both"/>
        <w:rPr>
          <w:sz w:val="24"/>
          <w:szCs w:val="24"/>
        </w:rPr>
      </w:pPr>
      <w:r>
        <w:rPr>
          <w:sz w:val="24"/>
          <w:szCs w:val="24"/>
        </w:rPr>
        <w:lastRenderedPageBreak/>
        <w:t>Producir conocimiento situado acorde a las realidades de las diversas comunidades.</w:t>
      </w:r>
    </w:p>
    <w:p w14:paraId="382B5797" w14:textId="77777777" w:rsidR="00A2252B" w:rsidRDefault="002B46A1">
      <w:pPr>
        <w:numPr>
          <w:ilvl w:val="0"/>
          <w:numId w:val="1"/>
        </w:numPr>
        <w:spacing w:line="240" w:lineRule="auto"/>
        <w:jc w:val="both"/>
        <w:rPr>
          <w:sz w:val="24"/>
          <w:szCs w:val="24"/>
        </w:rPr>
      </w:pPr>
      <w:r>
        <w:rPr>
          <w:sz w:val="24"/>
          <w:szCs w:val="24"/>
        </w:rPr>
        <w:t>Sistematizar los saberes que surgen de las prácticas comunitarias con el fin de gestionar el conocimiento autónoma y colectivamente.</w:t>
      </w:r>
    </w:p>
    <w:p w14:paraId="71CC0342" w14:textId="77777777" w:rsidR="00A2252B" w:rsidRDefault="002B46A1">
      <w:pPr>
        <w:numPr>
          <w:ilvl w:val="0"/>
          <w:numId w:val="1"/>
        </w:numPr>
        <w:spacing w:line="240" w:lineRule="auto"/>
        <w:jc w:val="both"/>
        <w:rPr>
          <w:sz w:val="24"/>
          <w:szCs w:val="24"/>
        </w:rPr>
      </w:pPr>
      <w:r>
        <w:rPr>
          <w:sz w:val="24"/>
          <w:szCs w:val="24"/>
        </w:rPr>
        <w:t xml:space="preserve">Incorporar actividades artísticas y culturales en el campo de la salud mental, abriendo lugar a otras áreas del conocimiento distintas a la visión que proporciona el modelo biomédico. </w:t>
      </w:r>
    </w:p>
    <w:p w14:paraId="3AA5FF27" w14:textId="77777777" w:rsidR="00A2252B" w:rsidRDefault="00A2252B">
      <w:pPr>
        <w:spacing w:line="240" w:lineRule="auto"/>
        <w:ind w:left="720"/>
        <w:jc w:val="both"/>
        <w:rPr>
          <w:sz w:val="24"/>
          <w:szCs w:val="24"/>
        </w:rPr>
      </w:pPr>
    </w:p>
    <w:p w14:paraId="0D3A3E88" w14:textId="77777777" w:rsidR="00A2252B" w:rsidRDefault="002B46A1">
      <w:pPr>
        <w:spacing w:line="240" w:lineRule="auto"/>
        <w:ind w:firstLine="720"/>
        <w:jc w:val="both"/>
        <w:rPr>
          <w:sz w:val="24"/>
          <w:szCs w:val="24"/>
        </w:rPr>
      </w:pPr>
      <w:r>
        <w:rPr>
          <w:sz w:val="24"/>
          <w:szCs w:val="24"/>
        </w:rPr>
        <w:t xml:space="preserve">Creemos que la construcción del concepto de salud mental debe discutirse de forma democrática y colectiva, para evitar </w:t>
      </w:r>
      <w:r w:rsidR="00E45BB1">
        <w:rPr>
          <w:sz w:val="24"/>
          <w:szCs w:val="24"/>
        </w:rPr>
        <w:t>una tecnificación excesiva</w:t>
      </w:r>
      <w:r>
        <w:rPr>
          <w:sz w:val="24"/>
          <w:szCs w:val="24"/>
        </w:rPr>
        <w:t xml:space="preserve"> que tenga como resultado profundizar en lógicas de exclusión del conocimiento producido por el saber “experto”. De esta forma, y en base a las orientaciones propuestas, entendemos la salud mental como un proceso que debe ser construido por </w:t>
      </w:r>
      <w:proofErr w:type="spellStart"/>
      <w:r>
        <w:rPr>
          <w:sz w:val="24"/>
          <w:szCs w:val="24"/>
        </w:rPr>
        <w:t>lxs</w:t>
      </w:r>
      <w:proofErr w:type="spellEnd"/>
      <w:r>
        <w:rPr>
          <w:sz w:val="24"/>
          <w:szCs w:val="24"/>
        </w:rPr>
        <w:t xml:space="preserve"> actores sociales, de manera situada y territorializada, respondiendo a las necesidades de cada comunidad específica. No es lo mismo la salud mental que hay en la comuna de Puente Alto que en la comuna de Vitacura: las necesidades, las realidades y las características </w:t>
      </w:r>
      <w:r w:rsidR="00E45BB1">
        <w:rPr>
          <w:sz w:val="24"/>
          <w:szCs w:val="24"/>
        </w:rPr>
        <w:t>socioeconómicas</w:t>
      </w:r>
      <w:r>
        <w:rPr>
          <w:sz w:val="24"/>
          <w:szCs w:val="24"/>
        </w:rPr>
        <w:t xml:space="preserve"> son muy diferentes. Por ende, las definiciones universales no pueden ser aplicadas a las diversas particularidades y condiciones sociales que existen en los territorios.</w:t>
      </w:r>
    </w:p>
    <w:p w14:paraId="0E7DA633" w14:textId="77777777" w:rsidR="00A2252B" w:rsidRDefault="002B46A1">
      <w:pPr>
        <w:spacing w:line="240" w:lineRule="auto"/>
        <w:ind w:firstLine="720"/>
        <w:jc w:val="both"/>
        <w:rPr>
          <w:sz w:val="24"/>
          <w:szCs w:val="24"/>
        </w:rPr>
      </w:pPr>
      <w:r>
        <w:rPr>
          <w:sz w:val="24"/>
          <w:szCs w:val="24"/>
        </w:rPr>
        <w:t xml:space="preserve">Por último, hay que ser cuidadosos al hablar de salud mental, ya que según el significado que se le dé por parte de los diversos profesionales, autoridades e instituciones que trabajan en este campo, se pueden validar prácticas dañinas que transgredan la integridad y los derechos de las personas, tal como lo fue en su </w:t>
      </w:r>
      <w:r w:rsidR="00E45BB1">
        <w:rPr>
          <w:sz w:val="24"/>
          <w:szCs w:val="24"/>
        </w:rPr>
        <w:t>época, la</w:t>
      </w:r>
      <w:r>
        <w:rPr>
          <w:sz w:val="24"/>
          <w:szCs w:val="24"/>
        </w:rPr>
        <w:t xml:space="preserve"> terapia electroconvulsiva, también conocida como </w:t>
      </w:r>
      <w:r>
        <w:rPr>
          <w:i/>
          <w:sz w:val="24"/>
          <w:szCs w:val="24"/>
        </w:rPr>
        <w:t>electroshock</w:t>
      </w:r>
      <w:r>
        <w:rPr>
          <w:sz w:val="24"/>
          <w:szCs w:val="24"/>
        </w:rPr>
        <w:t>.</w:t>
      </w:r>
    </w:p>
    <w:p w14:paraId="055DAE40" w14:textId="77777777" w:rsidR="00A2252B" w:rsidRDefault="00A2252B">
      <w:pPr>
        <w:spacing w:line="240" w:lineRule="auto"/>
        <w:ind w:firstLine="720"/>
        <w:jc w:val="both"/>
        <w:rPr>
          <w:sz w:val="24"/>
          <w:szCs w:val="24"/>
        </w:rPr>
      </w:pPr>
    </w:p>
    <w:p w14:paraId="75F277CE" w14:textId="77777777" w:rsidR="00A2252B" w:rsidRDefault="00A2252B">
      <w:pPr>
        <w:spacing w:line="240" w:lineRule="auto"/>
        <w:ind w:firstLine="720"/>
        <w:jc w:val="both"/>
        <w:rPr>
          <w:sz w:val="24"/>
          <w:szCs w:val="24"/>
        </w:rPr>
      </w:pPr>
    </w:p>
    <w:p w14:paraId="71EB20A1" w14:textId="77777777" w:rsidR="00A2252B" w:rsidRDefault="00A2252B">
      <w:pPr>
        <w:spacing w:line="240" w:lineRule="auto"/>
        <w:ind w:firstLine="720"/>
        <w:jc w:val="both"/>
        <w:rPr>
          <w:sz w:val="24"/>
          <w:szCs w:val="24"/>
        </w:rPr>
      </w:pPr>
    </w:p>
    <w:p w14:paraId="644FB7FF" w14:textId="77777777" w:rsidR="00A2252B" w:rsidRDefault="00A2252B">
      <w:pPr>
        <w:spacing w:line="240" w:lineRule="auto"/>
        <w:jc w:val="both"/>
        <w:rPr>
          <w:sz w:val="24"/>
          <w:szCs w:val="24"/>
        </w:rPr>
      </w:pPr>
    </w:p>
    <w:p w14:paraId="6152A70C" w14:textId="77777777" w:rsidR="00A2252B" w:rsidRDefault="002B46A1">
      <w:pPr>
        <w:spacing w:line="240" w:lineRule="auto"/>
        <w:jc w:val="both"/>
        <w:rPr>
          <w:b/>
          <w:sz w:val="24"/>
          <w:szCs w:val="24"/>
          <w:highlight w:val="white"/>
        </w:rPr>
      </w:pPr>
      <w:r>
        <w:rPr>
          <w:b/>
          <w:sz w:val="24"/>
          <w:szCs w:val="24"/>
          <w:highlight w:val="white"/>
        </w:rPr>
        <w:t>Referencias</w:t>
      </w:r>
    </w:p>
    <w:p w14:paraId="3ADF6967" w14:textId="77777777" w:rsidR="00A2252B" w:rsidRDefault="00A2252B">
      <w:pPr>
        <w:spacing w:line="240" w:lineRule="auto"/>
        <w:jc w:val="both"/>
        <w:rPr>
          <w:sz w:val="24"/>
          <w:szCs w:val="24"/>
          <w:highlight w:val="white"/>
        </w:rPr>
      </w:pPr>
    </w:p>
    <w:p w14:paraId="27DB596E" w14:textId="77777777" w:rsidR="00A2252B" w:rsidRDefault="002B46A1">
      <w:pPr>
        <w:spacing w:line="240" w:lineRule="auto"/>
        <w:jc w:val="both"/>
        <w:rPr>
          <w:sz w:val="24"/>
          <w:szCs w:val="24"/>
          <w:highlight w:val="white"/>
        </w:rPr>
      </w:pPr>
      <w:r>
        <w:rPr>
          <w:sz w:val="24"/>
          <w:szCs w:val="24"/>
          <w:highlight w:val="white"/>
        </w:rPr>
        <w:t>Martínez, V. (2020) Salud Mental Gestión de la Crisis</w:t>
      </w:r>
    </w:p>
    <w:p w14:paraId="25028F9A" w14:textId="77777777" w:rsidR="00A2252B" w:rsidRDefault="00A2252B">
      <w:pPr>
        <w:ind w:firstLine="720"/>
        <w:jc w:val="both"/>
        <w:rPr>
          <w:color w:val="333333"/>
          <w:sz w:val="24"/>
          <w:szCs w:val="24"/>
          <w:highlight w:val="white"/>
        </w:rPr>
      </w:pPr>
    </w:p>
    <w:p w14:paraId="6E4BDB16" w14:textId="77777777" w:rsidR="00FC1102" w:rsidRDefault="00FC1102">
      <w:pPr>
        <w:ind w:firstLine="720"/>
        <w:jc w:val="both"/>
        <w:rPr>
          <w:color w:val="333333"/>
          <w:sz w:val="24"/>
          <w:szCs w:val="24"/>
          <w:highlight w:val="white"/>
        </w:rPr>
      </w:pPr>
    </w:p>
    <w:p w14:paraId="6F20DA85" w14:textId="77777777" w:rsidR="00FC1102" w:rsidRDefault="00FC1102">
      <w:pPr>
        <w:ind w:firstLine="720"/>
        <w:jc w:val="both"/>
        <w:rPr>
          <w:color w:val="333333"/>
          <w:sz w:val="24"/>
          <w:szCs w:val="24"/>
          <w:highlight w:val="white"/>
        </w:rPr>
      </w:pPr>
    </w:p>
    <w:p w14:paraId="5A6C0026" w14:textId="77777777" w:rsidR="00FC1102" w:rsidRDefault="00FC1102">
      <w:pPr>
        <w:ind w:firstLine="720"/>
        <w:jc w:val="both"/>
        <w:rPr>
          <w:color w:val="333333"/>
          <w:sz w:val="24"/>
          <w:szCs w:val="24"/>
          <w:highlight w:val="white"/>
        </w:rPr>
      </w:pPr>
    </w:p>
    <w:p w14:paraId="7C4E97EE" w14:textId="77777777" w:rsidR="00FC1102" w:rsidRDefault="00FC1102">
      <w:pPr>
        <w:ind w:firstLine="720"/>
        <w:jc w:val="both"/>
        <w:rPr>
          <w:color w:val="333333"/>
          <w:sz w:val="24"/>
          <w:szCs w:val="24"/>
          <w:highlight w:val="white"/>
        </w:rPr>
      </w:pPr>
    </w:p>
    <w:p w14:paraId="6E277567" w14:textId="77777777" w:rsidR="00FC1102" w:rsidRDefault="00FC1102">
      <w:pPr>
        <w:ind w:firstLine="720"/>
        <w:jc w:val="both"/>
        <w:rPr>
          <w:color w:val="333333"/>
          <w:sz w:val="24"/>
          <w:szCs w:val="24"/>
          <w:highlight w:val="white"/>
        </w:rPr>
      </w:pPr>
    </w:p>
    <w:p w14:paraId="7ACFD8A4" w14:textId="77777777" w:rsidR="00FC1102" w:rsidRDefault="00FC1102">
      <w:pPr>
        <w:ind w:firstLine="720"/>
        <w:jc w:val="both"/>
        <w:rPr>
          <w:color w:val="333333"/>
          <w:sz w:val="24"/>
          <w:szCs w:val="24"/>
          <w:highlight w:val="white"/>
        </w:rPr>
      </w:pPr>
    </w:p>
    <w:p w14:paraId="12B6FEE5" w14:textId="77777777" w:rsidR="00FC1102" w:rsidRDefault="00FC1102">
      <w:pPr>
        <w:ind w:firstLine="720"/>
        <w:jc w:val="both"/>
        <w:rPr>
          <w:color w:val="333333"/>
          <w:sz w:val="24"/>
          <w:szCs w:val="24"/>
          <w:highlight w:val="white"/>
        </w:rPr>
      </w:pPr>
    </w:p>
    <w:p w14:paraId="115D5FA6" w14:textId="77777777" w:rsidR="00FC1102" w:rsidRDefault="00FC1102">
      <w:pPr>
        <w:ind w:firstLine="720"/>
        <w:jc w:val="both"/>
        <w:rPr>
          <w:color w:val="333333"/>
          <w:sz w:val="24"/>
          <w:szCs w:val="24"/>
          <w:highlight w:val="white"/>
        </w:rPr>
      </w:pPr>
    </w:p>
    <w:p w14:paraId="462B2F95" w14:textId="77777777" w:rsidR="00FC1102" w:rsidRDefault="00FC1102">
      <w:pPr>
        <w:ind w:firstLine="720"/>
        <w:jc w:val="both"/>
        <w:rPr>
          <w:color w:val="333333"/>
          <w:sz w:val="24"/>
          <w:szCs w:val="24"/>
          <w:highlight w:val="white"/>
        </w:rPr>
      </w:pPr>
    </w:p>
    <w:p w14:paraId="01CD3D86" w14:textId="77777777" w:rsidR="00FC1102" w:rsidRDefault="00FC1102">
      <w:pPr>
        <w:ind w:firstLine="720"/>
        <w:jc w:val="both"/>
        <w:rPr>
          <w:color w:val="333333"/>
          <w:sz w:val="24"/>
          <w:szCs w:val="24"/>
          <w:highlight w:val="white"/>
        </w:rPr>
      </w:pPr>
    </w:p>
    <w:p w14:paraId="39BE01B7" w14:textId="77777777" w:rsidR="00FC1102" w:rsidRDefault="00FC1102">
      <w:pPr>
        <w:ind w:firstLine="720"/>
        <w:jc w:val="both"/>
        <w:rPr>
          <w:color w:val="333333"/>
          <w:sz w:val="24"/>
          <w:szCs w:val="24"/>
          <w:highlight w:val="white"/>
        </w:rPr>
      </w:pPr>
    </w:p>
    <w:p w14:paraId="4954A0A0" w14:textId="77777777" w:rsidR="00FC1102" w:rsidRDefault="00FC1102">
      <w:pPr>
        <w:ind w:firstLine="720"/>
        <w:jc w:val="both"/>
        <w:rPr>
          <w:color w:val="333333"/>
          <w:sz w:val="24"/>
          <w:szCs w:val="24"/>
          <w:highlight w:val="white"/>
        </w:rPr>
      </w:pPr>
    </w:p>
    <w:p w14:paraId="4EA2EE1E" w14:textId="77777777" w:rsidR="00FC1102" w:rsidRDefault="00FC1102">
      <w:pPr>
        <w:ind w:firstLine="720"/>
        <w:jc w:val="both"/>
        <w:rPr>
          <w:color w:val="333333"/>
          <w:sz w:val="24"/>
          <w:szCs w:val="24"/>
          <w:highlight w:val="white"/>
        </w:rPr>
      </w:pPr>
    </w:p>
    <w:p w14:paraId="5B95E67D" w14:textId="77777777" w:rsidR="00FC1102" w:rsidRDefault="00FC1102">
      <w:pPr>
        <w:ind w:firstLine="720"/>
        <w:jc w:val="both"/>
        <w:rPr>
          <w:color w:val="333333"/>
          <w:sz w:val="24"/>
          <w:szCs w:val="24"/>
          <w:highlight w:val="white"/>
        </w:rPr>
      </w:pPr>
    </w:p>
    <w:tbl>
      <w:tblPr>
        <w:tblStyle w:val="Tablaconcuadrcula"/>
        <w:tblpPr w:leftFromText="141" w:rightFromText="141" w:vertAnchor="text" w:horzAnchor="margin" w:tblpY="372"/>
        <w:tblW w:w="10201" w:type="dxa"/>
        <w:tblLayout w:type="fixed"/>
        <w:tblLook w:val="04A0" w:firstRow="1" w:lastRow="0" w:firstColumn="1" w:lastColumn="0" w:noHBand="0" w:noVBand="1"/>
      </w:tblPr>
      <w:tblGrid>
        <w:gridCol w:w="3114"/>
        <w:gridCol w:w="1843"/>
        <w:gridCol w:w="1842"/>
        <w:gridCol w:w="1701"/>
        <w:gridCol w:w="1701"/>
      </w:tblGrid>
      <w:tr w:rsidR="00FC1102" w14:paraId="4250C521" w14:textId="77777777" w:rsidTr="00012123">
        <w:tc>
          <w:tcPr>
            <w:tcW w:w="3114" w:type="dxa"/>
            <w:tcBorders>
              <w:left w:val="single" w:sz="4" w:space="0" w:color="auto"/>
            </w:tcBorders>
          </w:tcPr>
          <w:p w14:paraId="20B83157" w14:textId="77777777" w:rsidR="00FC1102" w:rsidRPr="00362C24" w:rsidRDefault="00FC1102" w:rsidP="00012123">
            <w:pPr>
              <w:rPr>
                <w:rFonts w:ascii="Arial" w:hAnsi="Arial" w:cs="Arial"/>
              </w:rPr>
            </w:pPr>
            <w:r>
              <w:rPr>
                <w:rFonts w:ascii="Arial" w:hAnsi="Arial" w:cs="Arial"/>
              </w:rPr>
              <w:lastRenderedPageBreak/>
              <w:t>Categorías</w:t>
            </w:r>
          </w:p>
        </w:tc>
        <w:tc>
          <w:tcPr>
            <w:tcW w:w="1843" w:type="dxa"/>
            <w:tcBorders>
              <w:left w:val="single" w:sz="4" w:space="0" w:color="auto"/>
            </w:tcBorders>
          </w:tcPr>
          <w:p w14:paraId="5549879C" w14:textId="77777777" w:rsidR="00FC1102" w:rsidRPr="00362C24" w:rsidRDefault="00FC1102" w:rsidP="00012123">
            <w:pPr>
              <w:rPr>
                <w:rFonts w:ascii="Arial" w:hAnsi="Arial" w:cs="Arial"/>
              </w:rPr>
            </w:pPr>
            <w:r>
              <w:rPr>
                <w:rFonts w:ascii="Arial" w:hAnsi="Arial" w:cs="Arial"/>
              </w:rPr>
              <w:t>Aprobado</w:t>
            </w:r>
          </w:p>
        </w:tc>
        <w:tc>
          <w:tcPr>
            <w:tcW w:w="1842" w:type="dxa"/>
            <w:tcBorders>
              <w:left w:val="single" w:sz="4" w:space="0" w:color="auto"/>
            </w:tcBorders>
          </w:tcPr>
          <w:p w14:paraId="00E43D93" w14:textId="77777777" w:rsidR="00FC1102" w:rsidRPr="00362C24" w:rsidRDefault="00FC1102" w:rsidP="00012123">
            <w:pPr>
              <w:rPr>
                <w:rFonts w:ascii="Arial" w:hAnsi="Arial" w:cs="Arial"/>
              </w:rPr>
            </w:pPr>
            <w:r>
              <w:rPr>
                <w:rFonts w:ascii="Arial" w:hAnsi="Arial" w:cs="Arial"/>
              </w:rPr>
              <w:t>Aprobado con comentarios</w:t>
            </w:r>
          </w:p>
        </w:tc>
        <w:tc>
          <w:tcPr>
            <w:tcW w:w="1701" w:type="dxa"/>
            <w:tcBorders>
              <w:left w:val="single" w:sz="4" w:space="0" w:color="auto"/>
            </w:tcBorders>
          </w:tcPr>
          <w:p w14:paraId="4F1AD1F8" w14:textId="77777777" w:rsidR="00FC1102" w:rsidRPr="00362C24" w:rsidRDefault="00FC1102" w:rsidP="00012123">
            <w:pPr>
              <w:rPr>
                <w:rFonts w:ascii="Arial" w:hAnsi="Arial" w:cs="Arial"/>
              </w:rPr>
            </w:pPr>
            <w:r>
              <w:rPr>
                <w:rFonts w:ascii="Arial" w:hAnsi="Arial" w:cs="Arial"/>
              </w:rPr>
              <w:t>Reprobado</w:t>
            </w:r>
          </w:p>
        </w:tc>
        <w:tc>
          <w:tcPr>
            <w:tcW w:w="1701" w:type="dxa"/>
            <w:tcBorders>
              <w:left w:val="single" w:sz="4" w:space="0" w:color="auto"/>
            </w:tcBorders>
          </w:tcPr>
          <w:p w14:paraId="52F5FF52" w14:textId="77777777" w:rsidR="00FC1102" w:rsidRDefault="00FC1102" w:rsidP="00012123"/>
        </w:tc>
      </w:tr>
      <w:tr w:rsidR="00FC1102" w14:paraId="3DABA0B1" w14:textId="77777777" w:rsidTr="00012123">
        <w:tc>
          <w:tcPr>
            <w:tcW w:w="8500" w:type="dxa"/>
            <w:gridSpan w:val="4"/>
            <w:tcBorders>
              <w:left w:val="single" w:sz="4" w:space="0" w:color="auto"/>
            </w:tcBorders>
            <w:shd w:val="clear" w:color="auto" w:fill="CCC0D9" w:themeFill="accent4" w:themeFillTint="66"/>
          </w:tcPr>
          <w:p w14:paraId="2FA762BF" w14:textId="77777777" w:rsidR="00FC1102" w:rsidRPr="00362C24" w:rsidRDefault="00FC1102" w:rsidP="00012123">
            <w:pPr>
              <w:rPr>
                <w:rFonts w:ascii="Arial" w:hAnsi="Arial" w:cs="Arial"/>
              </w:rPr>
            </w:pPr>
            <w:r w:rsidRPr="00362C24">
              <w:rPr>
                <w:rFonts w:ascii="Arial" w:hAnsi="Arial" w:cs="Arial"/>
              </w:rPr>
              <w:t>Coherencia</w:t>
            </w:r>
          </w:p>
        </w:tc>
        <w:tc>
          <w:tcPr>
            <w:tcW w:w="1701" w:type="dxa"/>
            <w:tcBorders>
              <w:left w:val="single" w:sz="4" w:space="0" w:color="auto"/>
            </w:tcBorders>
            <w:shd w:val="clear" w:color="auto" w:fill="CCC0D9" w:themeFill="accent4" w:themeFillTint="66"/>
          </w:tcPr>
          <w:p w14:paraId="43841879" w14:textId="77777777" w:rsidR="00FC1102" w:rsidRPr="00362C24" w:rsidRDefault="00FC1102" w:rsidP="00012123"/>
        </w:tc>
      </w:tr>
      <w:tr w:rsidR="00FC1102" w14:paraId="19969044" w14:textId="77777777" w:rsidTr="00012123">
        <w:trPr>
          <w:trHeight w:val="690"/>
        </w:trPr>
        <w:tc>
          <w:tcPr>
            <w:tcW w:w="3114" w:type="dxa"/>
            <w:tcBorders>
              <w:left w:val="single" w:sz="4" w:space="0" w:color="auto"/>
            </w:tcBorders>
          </w:tcPr>
          <w:p w14:paraId="7C406BC2" w14:textId="77777777" w:rsidR="00FC1102" w:rsidRPr="00362C24" w:rsidRDefault="00FC1102" w:rsidP="00012123">
            <w:pPr>
              <w:rPr>
                <w:rFonts w:ascii="Arial" w:hAnsi="Arial" w:cs="Arial"/>
                <w:b/>
              </w:rPr>
            </w:pPr>
            <w:r w:rsidRPr="00362C24">
              <w:rPr>
                <w:rFonts w:ascii="Arial" w:hAnsi="Arial" w:cs="Arial"/>
              </w:rPr>
              <w:t xml:space="preserve">Integración de elementos contenidos en la guía </w:t>
            </w:r>
            <w:r w:rsidRPr="00362C24">
              <w:rPr>
                <w:rFonts w:ascii="Arial" w:hAnsi="Arial" w:cs="Arial"/>
                <w:i/>
                <w:iCs/>
              </w:rPr>
              <w:t>Salud Mental Gestión de la Crisis</w:t>
            </w:r>
            <w:r>
              <w:rPr>
                <w:rFonts w:ascii="Arial" w:hAnsi="Arial" w:cs="Arial"/>
                <w:i/>
                <w:iCs/>
              </w:rPr>
              <w:t>.</w:t>
            </w:r>
          </w:p>
        </w:tc>
        <w:tc>
          <w:tcPr>
            <w:tcW w:w="1843" w:type="dxa"/>
            <w:tcBorders>
              <w:left w:val="single" w:sz="4" w:space="0" w:color="auto"/>
            </w:tcBorders>
          </w:tcPr>
          <w:p w14:paraId="4E72D9ED" w14:textId="77777777" w:rsidR="00FC1102" w:rsidRPr="00362C24" w:rsidRDefault="00FC1102" w:rsidP="00012123">
            <w:pPr>
              <w:rPr>
                <w:rFonts w:ascii="Arial" w:hAnsi="Arial" w:cs="Arial"/>
              </w:rPr>
            </w:pPr>
            <w:r>
              <w:rPr>
                <w:rFonts w:ascii="Arial" w:hAnsi="Arial" w:cs="Arial"/>
              </w:rPr>
              <w:t>Integra los elementos</w:t>
            </w:r>
          </w:p>
        </w:tc>
        <w:tc>
          <w:tcPr>
            <w:tcW w:w="1842" w:type="dxa"/>
            <w:tcBorders>
              <w:left w:val="single" w:sz="4" w:space="0" w:color="auto"/>
            </w:tcBorders>
          </w:tcPr>
          <w:p w14:paraId="271F3B08" w14:textId="77777777" w:rsidR="00FC1102" w:rsidRPr="00362C24" w:rsidRDefault="00FC1102" w:rsidP="00012123">
            <w:pPr>
              <w:rPr>
                <w:rFonts w:ascii="Arial" w:hAnsi="Arial" w:cs="Arial"/>
              </w:rPr>
            </w:pPr>
            <w:r>
              <w:rPr>
                <w:rFonts w:ascii="Arial" w:hAnsi="Arial" w:cs="Arial"/>
              </w:rPr>
              <w:t>Integra medianamente los elementos</w:t>
            </w:r>
          </w:p>
        </w:tc>
        <w:tc>
          <w:tcPr>
            <w:tcW w:w="1701" w:type="dxa"/>
            <w:tcBorders>
              <w:left w:val="single" w:sz="4" w:space="0" w:color="auto"/>
            </w:tcBorders>
          </w:tcPr>
          <w:p w14:paraId="742864E4" w14:textId="77777777" w:rsidR="00FC1102" w:rsidRPr="00362C24" w:rsidRDefault="00FC1102" w:rsidP="00012123">
            <w:pPr>
              <w:rPr>
                <w:rFonts w:ascii="Arial" w:hAnsi="Arial" w:cs="Arial"/>
              </w:rPr>
            </w:pPr>
            <w:r>
              <w:rPr>
                <w:rFonts w:ascii="Arial" w:hAnsi="Arial" w:cs="Arial"/>
              </w:rPr>
              <w:t>No logra integrar los elementos</w:t>
            </w:r>
          </w:p>
        </w:tc>
        <w:tc>
          <w:tcPr>
            <w:tcW w:w="1701" w:type="dxa"/>
            <w:tcBorders>
              <w:left w:val="single" w:sz="4" w:space="0" w:color="auto"/>
            </w:tcBorders>
          </w:tcPr>
          <w:p w14:paraId="4CB36781" w14:textId="77777777" w:rsidR="00FC1102" w:rsidRDefault="00FC1102" w:rsidP="00012123">
            <w:r>
              <w:t>A</w:t>
            </w:r>
          </w:p>
        </w:tc>
      </w:tr>
      <w:tr w:rsidR="00FC1102" w14:paraId="3EBA973C" w14:textId="77777777" w:rsidTr="00012123">
        <w:trPr>
          <w:trHeight w:val="450"/>
        </w:trPr>
        <w:tc>
          <w:tcPr>
            <w:tcW w:w="3114" w:type="dxa"/>
            <w:tcBorders>
              <w:left w:val="single" w:sz="4" w:space="0" w:color="auto"/>
            </w:tcBorders>
          </w:tcPr>
          <w:p w14:paraId="4029305C" w14:textId="77777777" w:rsidR="00FC1102" w:rsidRPr="00362C24" w:rsidRDefault="00FC1102" w:rsidP="00012123">
            <w:pPr>
              <w:rPr>
                <w:rFonts w:ascii="Arial" w:hAnsi="Arial" w:cs="Arial"/>
              </w:rPr>
            </w:pPr>
            <w:r>
              <w:rPr>
                <w:rFonts w:ascii="Arial" w:hAnsi="Arial" w:cs="Arial"/>
              </w:rPr>
              <w:t>Incorporación</w:t>
            </w:r>
            <w:r w:rsidRPr="00362C24">
              <w:rPr>
                <w:rFonts w:ascii="Arial" w:hAnsi="Arial" w:cs="Arial"/>
              </w:rPr>
              <w:t xml:space="preserve"> del saber</w:t>
            </w:r>
            <w:r>
              <w:rPr>
                <w:rFonts w:ascii="Arial" w:hAnsi="Arial" w:cs="Arial"/>
              </w:rPr>
              <w:t xml:space="preserve"> comunitario.</w:t>
            </w:r>
          </w:p>
        </w:tc>
        <w:tc>
          <w:tcPr>
            <w:tcW w:w="1843" w:type="dxa"/>
            <w:tcBorders>
              <w:left w:val="single" w:sz="4" w:space="0" w:color="auto"/>
            </w:tcBorders>
          </w:tcPr>
          <w:p w14:paraId="073100FB" w14:textId="77777777" w:rsidR="00FC1102" w:rsidRDefault="00FC1102" w:rsidP="00012123">
            <w:pPr>
              <w:rPr>
                <w:rFonts w:ascii="Arial" w:hAnsi="Arial" w:cs="Arial"/>
              </w:rPr>
            </w:pPr>
            <w:r>
              <w:rPr>
                <w:rFonts w:ascii="Arial" w:hAnsi="Arial" w:cs="Arial"/>
              </w:rPr>
              <w:t>Incorpora el saber comunitario</w:t>
            </w:r>
          </w:p>
        </w:tc>
        <w:tc>
          <w:tcPr>
            <w:tcW w:w="1842" w:type="dxa"/>
            <w:tcBorders>
              <w:left w:val="single" w:sz="4" w:space="0" w:color="auto"/>
            </w:tcBorders>
          </w:tcPr>
          <w:p w14:paraId="7DFF6290" w14:textId="77777777" w:rsidR="00FC1102" w:rsidRDefault="00FC1102" w:rsidP="00012123">
            <w:pPr>
              <w:rPr>
                <w:rFonts w:ascii="Arial" w:hAnsi="Arial" w:cs="Arial"/>
              </w:rPr>
            </w:pPr>
            <w:r>
              <w:rPr>
                <w:rFonts w:ascii="Arial" w:hAnsi="Arial" w:cs="Arial"/>
              </w:rPr>
              <w:t>Incorpora medianamente el saber comunitario</w:t>
            </w:r>
          </w:p>
        </w:tc>
        <w:tc>
          <w:tcPr>
            <w:tcW w:w="1701" w:type="dxa"/>
            <w:tcBorders>
              <w:left w:val="single" w:sz="4" w:space="0" w:color="auto"/>
            </w:tcBorders>
          </w:tcPr>
          <w:p w14:paraId="49753628" w14:textId="77777777" w:rsidR="00FC1102" w:rsidRDefault="00FC1102" w:rsidP="00012123">
            <w:pPr>
              <w:rPr>
                <w:rFonts w:ascii="Arial" w:hAnsi="Arial" w:cs="Arial"/>
              </w:rPr>
            </w:pPr>
            <w:r>
              <w:rPr>
                <w:rFonts w:ascii="Arial" w:hAnsi="Arial" w:cs="Arial"/>
              </w:rPr>
              <w:t>No incorpora el saber comunitario</w:t>
            </w:r>
          </w:p>
        </w:tc>
        <w:tc>
          <w:tcPr>
            <w:tcW w:w="1701" w:type="dxa"/>
            <w:tcBorders>
              <w:left w:val="single" w:sz="4" w:space="0" w:color="auto"/>
            </w:tcBorders>
          </w:tcPr>
          <w:p w14:paraId="30AB8283" w14:textId="77777777" w:rsidR="00FC1102" w:rsidRDefault="00FC1102" w:rsidP="00012123">
            <w:r>
              <w:t>A</w:t>
            </w:r>
          </w:p>
        </w:tc>
      </w:tr>
      <w:tr w:rsidR="00FC1102" w14:paraId="27F3A1BE" w14:textId="77777777" w:rsidTr="00012123">
        <w:trPr>
          <w:trHeight w:val="401"/>
        </w:trPr>
        <w:tc>
          <w:tcPr>
            <w:tcW w:w="3114" w:type="dxa"/>
            <w:tcBorders>
              <w:left w:val="single" w:sz="4" w:space="0" w:color="auto"/>
            </w:tcBorders>
          </w:tcPr>
          <w:p w14:paraId="1748A2C1" w14:textId="77777777" w:rsidR="00FC1102" w:rsidRDefault="00FC1102" w:rsidP="00012123">
            <w:pPr>
              <w:rPr>
                <w:rFonts w:ascii="Arial" w:hAnsi="Arial" w:cs="Arial"/>
              </w:rPr>
            </w:pPr>
            <w:r>
              <w:rPr>
                <w:rFonts w:ascii="Arial" w:hAnsi="Arial" w:cs="Arial"/>
              </w:rPr>
              <w:t>Dialogo entre el saber comunitario y el saber experto.</w:t>
            </w:r>
          </w:p>
        </w:tc>
        <w:tc>
          <w:tcPr>
            <w:tcW w:w="1843" w:type="dxa"/>
            <w:tcBorders>
              <w:left w:val="single" w:sz="4" w:space="0" w:color="auto"/>
            </w:tcBorders>
          </w:tcPr>
          <w:p w14:paraId="5898844D" w14:textId="77777777" w:rsidR="00FC1102" w:rsidRDefault="00FC1102" w:rsidP="00012123">
            <w:pPr>
              <w:rPr>
                <w:rFonts w:ascii="Arial" w:hAnsi="Arial" w:cs="Arial"/>
              </w:rPr>
            </w:pPr>
            <w:r>
              <w:rPr>
                <w:rFonts w:ascii="Arial" w:hAnsi="Arial" w:cs="Arial"/>
              </w:rPr>
              <w:t>Existe dialogo entre saberes</w:t>
            </w:r>
          </w:p>
        </w:tc>
        <w:tc>
          <w:tcPr>
            <w:tcW w:w="1842" w:type="dxa"/>
            <w:tcBorders>
              <w:left w:val="single" w:sz="4" w:space="0" w:color="auto"/>
            </w:tcBorders>
          </w:tcPr>
          <w:p w14:paraId="6E187508" w14:textId="77777777" w:rsidR="00FC1102" w:rsidRDefault="00FC1102" w:rsidP="00012123">
            <w:pPr>
              <w:rPr>
                <w:rFonts w:ascii="Arial" w:hAnsi="Arial" w:cs="Arial"/>
              </w:rPr>
            </w:pPr>
            <w:r>
              <w:rPr>
                <w:rFonts w:ascii="Arial" w:hAnsi="Arial" w:cs="Arial"/>
              </w:rPr>
              <w:t>Existe medianamente dialogo entre saberes</w:t>
            </w:r>
          </w:p>
        </w:tc>
        <w:tc>
          <w:tcPr>
            <w:tcW w:w="1701" w:type="dxa"/>
            <w:tcBorders>
              <w:left w:val="single" w:sz="4" w:space="0" w:color="auto"/>
            </w:tcBorders>
          </w:tcPr>
          <w:p w14:paraId="3B4EA5CC" w14:textId="77777777" w:rsidR="00FC1102" w:rsidRDefault="00FC1102" w:rsidP="00012123">
            <w:pPr>
              <w:rPr>
                <w:rFonts w:ascii="Arial" w:hAnsi="Arial" w:cs="Arial"/>
              </w:rPr>
            </w:pPr>
            <w:r>
              <w:rPr>
                <w:rFonts w:ascii="Arial" w:hAnsi="Arial" w:cs="Arial"/>
              </w:rPr>
              <w:t>No existe dialogo entre saberes</w:t>
            </w:r>
          </w:p>
        </w:tc>
        <w:tc>
          <w:tcPr>
            <w:tcW w:w="1701" w:type="dxa"/>
            <w:tcBorders>
              <w:left w:val="single" w:sz="4" w:space="0" w:color="auto"/>
            </w:tcBorders>
          </w:tcPr>
          <w:p w14:paraId="533B608B" w14:textId="77777777" w:rsidR="00FC1102" w:rsidRDefault="00FC1102" w:rsidP="00012123">
            <w:r>
              <w:t>A</w:t>
            </w:r>
          </w:p>
        </w:tc>
      </w:tr>
      <w:tr w:rsidR="00FC1102" w14:paraId="143957CD" w14:textId="77777777" w:rsidTr="00012123">
        <w:trPr>
          <w:trHeight w:val="401"/>
        </w:trPr>
        <w:tc>
          <w:tcPr>
            <w:tcW w:w="8500" w:type="dxa"/>
            <w:gridSpan w:val="4"/>
            <w:tcBorders>
              <w:left w:val="single" w:sz="4" w:space="0" w:color="auto"/>
            </w:tcBorders>
            <w:shd w:val="clear" w:color="auto" w:fill="CCC0D9" w:themeFill="accent4" w:themeFillTint="66"/>
          </w:tcPr>
          <w:p w14:paraId="4890C96B" w14:textId="77777777" w:rsidR="00FC1102" w:rsidRPr="00362C24" w:rsidRDefault="00FC1102" w:rsidP="00012123">
            <w:pPr>
              <w:rPr>
                <w:rFonts w:ascii="Arial" w:hAnsi="Arial" w:cs="Arial"/>
              </w:rPr>
            </w:pPr>
            <w:r w:rsidRPr="00362C24">
              <w:rPr>
                <w:rFonts w:ascii="Arial" w:hAnsi="Arial" w:cs="Arial"/>
              </w:rPr>
              <w:t>Análisis</w:t>
            </w:r>
          </w:p>
        </w:tc>
        <w:tc>
          <w:tcPr>
            <w:tcW w:w="1701" w:type="dxa"/>
            <w:tcBorders>
              <w:left w:val="single" w:sz="4" w:space="0" w:color="auto"/>
            </w:tcBorders>
            <w:shd w:val="clear" w:color="auto" w:fill="CCC0D9" w:themeFill="accent4" w:themeFillTint="66"/>
          </w:tcPr>
          <w:p w14:paraId="758BEE13" w14:textId="77777777" w:rsidR="00FC1102" w:rsidRPr="00362C24" w:rsidRDefault="00FC1102" w:rsidP="00012123"/>
        </w:tc>
      </w:tr>
      <w:tr w:rsidR="00FC1102" w14:paraId="671EA71C" w14:textId="77777777" w:rsidTr="00012123">
        <w:trPr>
          <w:trHeight w:val="405"/>
        </w:trPr>
        <w:tc>
          <w:tcPr>
            <w:tcW w:w="3114" w:type="dxa"/>
          </w:tcPr>
          <w:p w14:paraId="76EA018D" w14:textId="77777777" w:rsidR="00FC1102" w:rsidRPr="00362C24" w:rsidRDefault="00FC1102" w:rsidP="00012123">
            <w:pPr>
              <w:rPr>
                <w:rFonts w:ascii="Arial" w:hAnsi="Arial" w:cs="Arial"/>
              </w:rPr>
            </w:pPr>
            <w:r>
              <w:rPr>
                <w:rFonts w:ascii="Arial" w:hAnsi="Arial" w:cs="Arial"/>
              </w:rPr>
              <w:t>Pertinencia del análisis</w:t>
            </w:r>
          </w:p>
        </w:tc>
        <w:tc>
          <w:tcPr>
            <w:tcW w:w="1843" w:type="dxa"/>
          </w:tcPr>
          <w:p w14:paraId="0A4A7344" w14:textId="77777777" w:rsidR="00FC1102" w:rsidRDefault="00FC1102" w:rsidP="00012123">
            <w:pPr>
              <w:rPr>
                <w:rFonts w:ascii="Arial" w:hAnsi="Arial" w:cs="Arial"/>
              </w:rPr>
            </w:pPr>
            <w:r>
              <w:rPr>
                <w:rFonts w:ascii="Arial" w:hAnsi="Arial" w:cs="Arial"/>
              </w:rPr>
              <w:t>El análisis es pertinente a los requerimientos del ensayo</w:t>
            </w:r>
          </w:p>
        </w:tc>
        <w:tc>
          <w:tcPr>
            <w:tcW w:w="1842" w:type="dxa"/>
          </w:tcPr>
          <w:p w14:paraId="6534A0B0" w14:textId="77777777" w:rsidR="00FC1102" w:rsidRDefault="00FC1102" w:rsidP="00012123">
            <w:pPr>
              <w:rPr>
                <w:rFonts w:ascii="Arial" w:hAnsi="Arial" w:cs="Arial"/>
              </w:rPr>
            </w:pPr>
            <w:r>
              <w:rPr>
                <w:rFonts w:ascii="Arial" w:hAnsi="Arial" w:cs="Arial"/>
              </w:rPr>
              <w:t>El análisis es medianamente pertinente a los requerimientos del ensayo</w:t>
            </w:r>
          </w:p>
        </w:tc>
        <w:tc>
          <w:tcPr>
            <w:tcW w:w="1701" w:type="dxa"/>
          </w:tcPr>
          <w:p w14:paraId="2F05677D" w14:textId="77777777" w:rsidR="00FC1102" w:rsidRDefault="00FC1102" w:rsidP="00012123">
            <w:pPr>
              <w:rPr>
                <w:rFonts w:ascii="Arial" w:hAnsi="Arial" w:cs="Arial"/>
              </w:rPr>
            </w:pPr>
            <w:r>
              <w:rPr>
                <w:rFonts w:ascii="Arial" w:hAnsi="Arial" w:cs="Arial"/>
              </w:rPr>
              <w:t>El análisis no es pertinente a los requerimientos del ensayo</w:t>
            </w:r>
          </w:p>
        </w:tc>
        <w:tc>
          <w:tcPr>
            <w:tcW w:w="1701" w:type="dxa"/>
          </w:tcPr>
          <w:p w14:paraId="7D60014B" w14:textId="77777777" w:rsidR="00FC1102" w:rsidRDefault="00FC1102" w:rsidP="00012123">
            <w:r>
              <w:t>A</w:t>
            </w:r>
          </w:p>
        </w:tc>
      </w:tr>
      <w:tr w:rsidR="00FC1102" w14:paraId="3DBF6794" w14:textId="77777777" w:rsidTr="00012123">
        <w:trPr>
          <w:trHeight w:val="405"/>
        </w:trPr>
        <w:tc>
          <w:tcPr>
            <w:tcW w:w="3114" w:type="dxa"/>
          </w:tcPr>
          <w:p w14:paraId="1DFDC998" w14:textId="77777777" w:rsidR="00FC1102" w:rsidRPr="00362C24" w:rsidRDefault="00FC1102" w:rsidP="00012123">
            <w:pPr>
              <w:rPr>
                <w:rFonts w:ascii="Arial" w:hAnsi="Arial" w:cs="Arial"/>
              </w:rPr>
            </w:pPr>
            <w:r w:rsidRPr="00362C24">
              <w:rPr>
                <w:rFonts w:ascii="Arial" w:hAnsi="Arial" w:cs="Arial"/>
              </w:rPr>
              <w:t>Incorporación de</w:t>
            </w:r>
            <w:r>
              <w:rPr>
                <w:rFonts w:ascii="Arial" w:hAnsi="Arial" w:cs="Arial"/>
              </w:rPr>
              <w:t xml:space="preserve"> posicionamiento</w:t>
            </w:r>
            <w:r w:rsidRPr="00362C24">
              <w:rPr>
                <w:rFonts w:ascii="Arial" w:hAnsi="Arial" w:cs="Arial"/>
              </w:rPr>
              <w:t xml:space="preserve"> </w:t>
            </w:r>
            <w:r>
              <w:rPr>
                <w:rFonts w:ascii="Arial" w:hAnsi="Arial" w:cs="Arial"/>
              </w:rPr>
              <w:t>grupal</w:t>
            </w:r>
          </w:p>
        </w:tc>
        <w:tc>
          <w:tcPr>
            <w:tcW w:w="1843" w:type="dxa"/>
          </w:tcPr>
          <w:p w14:paraId="2C2B9FB1" w14:textId="77777777" w:rsidR="00FC1102" w:rsidRPr="00362C24" w:rsidRDefault="00FC1102" w:rsidP="00012123">
            <w:pPr>
              <w:rPr>
                <w:rFonts w:ascii="Arial" w:hAnsi="Arial" w:cs="Arial"/>
              </w:rPr>
            </w:pPr>
            <w:r>
              <w:rPr>
                <w:rFonts w:ascii="Arial" w:hAnsi="Arial" w:cs="Arial"/>
              </w:rPr>
              <w:t>Incorpora posicionamiento grupal</w:t>
            </w:r>
          </w:p>
        </w:tc>
        <w:tc>
          <w:tcPr>
            <w:tcW w:w="1842" w:type="dxa"/>
          </w:tcPr>
          <w:p w14:paraId="209A0A1E" w14:textId="77777777" w:rsidR="00FC1102" w:rsidRPr="00362C24" w:rsidRDefault="00FC1102" w:rsidP="00012123">
            <w:pPr>
              <w:rPr>
                <w:rFonts w:ascii="Arial" w:hAnsi="Arial" w:cs="Arial"/>
              </w:rPr>
            </w:pPr>
            <w:r>
              <w:rPr>
                <w:rFonts w:ascii="Arial" w:hAnsi="Arial" w:cs="Arial"/>
              </w:rPr>
              <w:t>Incorpora medianamente posicionamiento grupal</w:t>
            </w:r>
          </w:p>
        </w:tc>
        <w:tc>
          <w:tcPr>
            <w:tcW w:w="1701" w:type="dxa"/>
          </w:tcPr>
          <w:p w14:paraId="5082D8F2" w14:textId="77777777" w:rsidR="00FC1102" w:rsidRPr="00362C24" w:rsidRDefault="00FC1102" w:rsidP="00012123">
            <w:pPr>
              <w:rPr>
                <w:rFonts w:ascii="Arial" w:hAnsi="Arial" w:cs="Arial"/>
              </w:rPr>
            </w:pPr>
            <w:r>
              <w:rPr>
                <w:rFonts w:ascii="Arial" w:hAnsi="Arial" w:cs="Arial"/>
              </w:rPr>
              <w:t>No incorpora posicionamiento grupal</w:t>
            </w:r>
          </w:p>
        </w:tc>
        <w:tc>
          <w:tcPr>
            <w:tcW w:w="1701" w:type="dxa"/>
          </w:tcPr>
          <w:p w14:paraId="46C990A8" w14:textId="77777777" w:rsidR="00FC1102" w:rsidRDefault="00FC1102" w:rsidP="00012123">
            <w:r>
              <w:t>A</w:t>
            </w:r>
          </w:p>
        </w:tc>
      </w:tr>
      <w:tr w:rsidR="00FC1102" w14:paraId="370BD649" w14:textId="77777777" w:rsidTr="00012123">
        <w:trPr>
          <w:trHeight w:val="818"/>
        </w:trPr>
        <w:tc>
          <w:tcPr>
            <w:tcW w:w="3114" w:type="dxa"/>
          </w:tcPr>
          <w:p w14:paraId="72F57DD7" w14:textId="77777777" w:rsidR="00FC1102" w:rsidRPr="00362C24" w:rsidRDefault="00FC1102" w:rsidP="00012123">
            <w:pPr>
              <w:rPr>
                <w:rFonts w:ascii="Arial" w:hAnsi="Arial" w:cs="Arial"/>
              </w:rPr>
            </w:pPr>
            <w:r>
              <w:rPr>
                <w:rFonts w:ascii="Arial" w:hAnsi="Arial" w:cs="Arial"/>
              </w:rPr>
              <w:t>Argumentos pertinentes de acuerdo</w:t>
            </w:r>
            <w:r w:rsidRPr="00362C24">
              <w:rPr>
                <w:rFonts w:ascii="Arial" w:hAnsi="Arial" w:cs="Arial"/>
              </w:rPr>
              <w:t xml:space="preserve"> a la temática.</w:t>
            </w:r>
          </w:p>
        </w:tc>
        <w:tc>
          <w:tcPr>
            <w:tcW w:w="1843" w:type="dxa"/>
          </w:tcPr>
          <w:p w14:paraId="4EE9A295" w14:textId="77777777" w:rsidR="00FC1102" w:rsidRPr="00362C24" w:rsidRDefault="00FC1102" w:rsidP="00012123">
            <w:pPr>
              <w:rPr>
                <w:rFonts w:ascii="Arial" w:hAnsi="Arial" w:cs="Arial"/>
              </w:rPr>
            </w:pPr>
            <w:r>
              <w:rPr>
                <w:rFonts w:ascii="Arial" w:hAnsi="Arial" w:cs="Arial"/>
              </w:rPr>
              <w:t>Argumentación pertinente</w:t>
            </w:r>
          </w:p>
        </w:tc>
        <w:tc>
          <w:tcPr>
            <w:tcW w:w="1842" w:type="dxa"/>
          </w:tcPr>
          <w:p w14:paraId="740F032B" w14:textId="77777777" w:rsidR="00FC1102" w:rsidRPr="00362C24" w:rsidRDefault="00FC1102" w:rsidP="00012123">
            <w:pPr>
              <w:rPr>
                <w:rFonts w:ascii="Arial" w:hAnsi="Arial" w:cs="Arial"/>
              </w:rPr>
            </w:pPr>
            <w:r>
              <w:rPr>
                <w:rFonts w:ascii="Arial" w:hAnsi="Arial" w:cs="Arial"/>
              </w:rPr>
              <w:t>Argumentación medianamente pertinente</w:t>
            </w:r>
          </w:p>
        </w:tc>
        <w:tc>
          <w:tcPr>
            <w:tcW w:w="1701" w:type="dxa"/>
          </w:tcPr>
          <w:p w14:paraId="7EF98F0A" w14:textId="77777777" w:rsidR="00FC1102" w:rsidRPr="00362C24" w:rsidRDefault="00FC1102" w:rsidP="00012123">
            <w:pPr>
              <w:rPr>
                <w:rFonts w:ascii="Arial" w:hAnsi="Arial" w:cs="Arial"/>
              </w:rPr>
            </w:pPr>
            <w:r>
              <w:rPr>
                <w:rFonts w:ascii="Arial" w:hAnsi="Arial" w:cs="Arial"/>
              </w:rPr>
              <w:t>Argumentación no pertinente</w:t>
            </w:r>
          </w:p>
        </w:tc>
        <w:tc>
          <w:tcPr>
            <w:tcW w:w="1701" w:type="dxa"/>
          </w:tcPr>
          <w:p w14:paraId="46F16DBD" w14:textId="77777777" w:rsidR="00FC1102" w:rsidRDefault="00FC1102" w:rsidP="00012123">
            <w:r>
              <w:t>A</w:t>
            </w:r>
          </w:p>
        </w:tc>
      </w:tr>
      <w:tr w:rsidR="00FC1102" w14:paraId="6A197457" w14:textId="77777777" w:rsidTr="00012123">
        <w:trPr>
          <w:trHeight w:val="465"/>
        </w:trPr>
        <w:tc>
          <w:tcPr>
            <w:tcW w:w="3114" w:type="dxa"/>
          </w:tcPr>
          <w:p w14:paraId="5C287434" w14:textId="77777777" w:rsidR="00FC1102" w:rsidRDefault="00FC1102" w:rsidP="00012123">
            <w:pPr>
              <w:rPr>
                <w:rFonts w:ascii="Arial" w:hAnsi="Arial" w:cs="Arial"/>
              </w:rPr>
            </w:pPr>
            <w:r>
              <w:rPr>
                <w:rFonts w:ascii="Arial" w:hAnsi="Arial" w:cs="Arial"/>
              </w:rPr>
              <w:t xml:space="preserve">Argumentos creativos y originales </w:t>
            </w:r>
          </w:p>
        </w:tc>
        <w:tc>
          <w:tcPr>
            <w:tcW w:w="1843" w:type="dxa"/>
          </w:tcPr>
          <w:p w14:paraId="16FEC5E3" w14:textId="77777777" w:rsidR="00FC1102" w:rsidRPr="00362C24" w:rsidRDefault="00FC1102" w:rsidP="00012123">
            <w:pPr>
              <w:rPr>
                <w:rFonts w:ascii="Arial" w:hAnsi="Arial" w:cs="Arial"/>
              </w:rPr>
            </w:pPr>
            <w:r>
              <w:rPr>
                <w:rFonts w:ascii="Arial" w:hAnsi="Arial" w:cs="Arial"/>
              </w:rPr>
              <w:t>El análisis es creativo y original</w:t>
            </w:r>
          </w:p>
        </w:tc>
        <w:tc>
          <w:tcPr>
            <w:tcW w:w="1842" w:type="dxa"/>
          </w:tcPr>
          <w:p w14:paraId="46FA4485" w14:textId="77777777" w:rsidR="00FC1102" w:rsidRPr="00362C24" w:rsidRDefault="00FC1102" w:rsidP="00012123">
            <w:pPr>
              <w:rPr>
                <w:rFonts w:ascii="Arial" w:hAnsi="Arial" w:cs="Arial"/>
              </w:rPr>
            </w:pPr>
            <w:r>
              <w:rPr>
                <w:rFonts w:ascii="Arial" w:hAnsi="Arial" w:cs="Arial"/>
              </w:rPr>
              <w:t>El análisis es medianamente creativo</w:t>
            </w:r>
          </w:p>
        </w:tc>
        <w:tc>
          <w:tcPr>
            <w:tcW w:w="1701" w:type="dxa"/>
          </w:tcPr>
          <w:p w14:paraId="0A237EDB" w14:textId="77777777" w:rsidR="00FC1102" w:rsidRPr="00362C24" w:rsidRDefault="00FC1102" w:rsidP="00012123">
            <w:pPr>
              <w:rPr>
                <w:rFonts w:ascii="Arial" w:hAnsi="Arial" w:cs="Arial"/>
              </w:rPr>
            </w:pPr>
            <w:r>
              <w:rPr>
                <w:rFonts w:ascii="Arial" w:hAnsi="Arial" w:cs="Arial"/>
              </w:rPr>
              <w:t>El análisis no creativo ni original</w:t>
            </w:r>
          </w:p>
        </w:tc>
        <w:tc>
          <w:tcPr>
            <w:tcW w:w="1701" w:type="dxa"/>
          </w:tcPr>
          <w:p w14:paraId="0EC6578D" w14:textId="77777777" w:rsidR="00FC1102" w:rsidRDefault="00FC1102" w:rsidP="00012123">
            <w:r>
              <w:t>A</w:t>
            </w:r>
          </w:p>
        </w:tc>
      </w:tr>
      <w:tr w:rsidR="00FC1102" w14:paraId="08F4AEBF" w14:textId="77777777" w:rsidTr="00012123">
        <w:tc>
          <w:tcPr>
            <w:tcW w:w="8500" w:type="dxa"/>
            <w:gridSpan w:val="4"/>
            <w:shd w:val="clear" w:color="auto" w:fill="CCC0D9" w:themeFill="accent4" w:themeFillTint="66"/>
          </w:tcPr>
          <w:p w14:paraId="6D912FAE" w14:textId="77777777" w:rsidR="00FC1102" w:rsidRPr="00362C24" w:rsidRDefault="00FC1102" w:rsidP="00012123">
            <w:pPr>
              <w:rPr>
                <w:rFonts w:ascii="Arial" w:hAnsi="Arial" w:cs="Arial"/>
              </w:rPr>
            </w:pPr>
            <w:r w:rsidRPr="00362C24">
              <w:rPr>
                <w:rFonts w:ascii="Arial" w:hAnsi="Arial" w:cs="Arial"/>
              </w:rPr>
              <w:t>Aspectos formales</w:t>
            </w:r>
          </w:p>
        </w:tc>
        <w:tc>
          <w:tcPr>
            <w:tcW w:w="1701" w:type="dxa"/>
            <w:shd w:val="clear" w:color="auto" w:fill="CCC0D9" w:themeFill="accent4" w:themeFillTint="66"/>
          </w:tcPr>
          <w:p w14:paraId="75DF0CA3" w14:textId="77777777" w:rsidR="00FC1102" w:rsidRPr="00362C24" w:rsidRDefault="00FC1102" w:rsidP="00012123"/>
        </w:tc>
      </w:tr>
      <w:tr w:rsidR="00FC1102" w14:paraId="7783AF9D" w14:textId="77777777" w:rsidTr="00012123">
        <w:trPr>
          <w:trHeight w:val="360"/>
        </w:trPr>
        <w:tc>
          <w:tcPr>
            <w:tcW w:w="3114" w:type="dxa"/>
          </w:tcPr>
          <w:p w14:paraId="2DE08DA9" w14:textId="77777777" w:rsidR="00FC1102" w:rsidRPr="00027DA5" w:rsidRDefault="00FC1102" w:rsidP="00012123">
            <w:pPr>
              <w:autoSpaceDE w:val="0"/>
              <w:autoSpaceDN w:val="0"/>
              <w:adjustRightInd w:val="0"/>
              <w:rPr>
                <w:rFonts w:ascii="Arial" w:hAnsi="Arial" w:cs="Arial"/>
              </w:rPr>
            </w:pPr>
            <w:r>
              <w:rPr>
                <w:rFonts w:ascii="Arial" w:hAnsi="Arial" w:cs="Arial"/>
              </w:rPr>
              <w:t>Capacidad de síntesis</w:t>
            </w:r>
          </w:p>
        </w:tc>
        <w:tc>
          <w:tcPr>
            <w:tcW w:w="1843" w:type="dxa"/>
          </w:tcPr>
          <w:p w14:paraId="1AA74FAF" w14:textId="77777777" w:rsidR="00FC1102" w:rsidRPr="00362C24" w:rsidRDefault="00FC1102" w:rsidP="00012123">
            <w:pPr>
              <w:autoSpaceDE w:val="0"/>
              <w:autoSpaceDN w:val="0"/>
              <w:adjustRightInd w:val="0"/>
              <w:rPr>
                <w:rFonts w:ascii="Arial" w:hAnsi="Arial" w:cs="Arial"/>
              </w:rPr>
            </w:pPr>
            <w:r>
              <w:rPr>
                <w:rFonts w:ascii="Arial" w:hAnsi="Arial" w:cs="Arial"/>
              </w:rPr>
              <w:t>Cumple con los requisitos</w:t>
            </w:r>
          </w:p>
        </w:tc>
        <w:tc>
          <w:tcPr>
            <w:tcW w:w="1842" w:type="dxa"/>
          </w:tcPr>
          <w:p w14:paraId="1FA8A466" w14:textId="77777777" w:rsidR="00FC1102" w:rsidRPr="00362C24" w:rsidRDefault="00FC1102" w:rsidP="00012123">
            <w:pPr>
              <w:autoSpaceDE w:val="0"/>
              <w:autoSpaceDN w:val="0"/>
              <w:adjustRightInd w:val="0"/>
              <w:rPr>
                <w:rFonts w:ascii="Arial" w:hAnsi="Arial" w:cs="Arial"/>
              </w:rPr>
            </w:pPr>
          </w:p>
        </w:tc>
        <w:tc>
          <w:tcPr>
            <w:tcW w:w="1701" w:type="dxa"/>
          </w:tcPr>
          <w:p w14:paraId="23B79CE5" w14:textId="77777777" w:rsidR="00FC1102" w:rsidRPr="00362C24" w:rsidRDefault="00FC1102" w:rsidP="00012123">
            <w:pPr>
              <w:autoSpaceDE w:val="0"/>
              <w:autoSpaceDN w:val="0"/>
              <w:adjustRightInd w:val="0"/>
              <w:rPr>
                <w:rFonts w:ascii="Arial" w:hAnsi="Arial" w:cs="Arial"/>
              </w:rPr>
            </w:pPr>
            <w:r>
              <w:rPr>
                <w:rFonts w:ascii="Arial" w:hAnsi="Arial" w:cs="Arial"/>
              </w:rPr>
              <w:t>No cumple con los requisitos</w:t>
            </w:r>
          </w:p>
        </w:tc>
        <w:tc>
          <w:tcPr>
            <w:tcW w:w="1701" w:type="dxa"/>
          </w:tcPr>
          <w:p w14:paraId="560ACDBD" w14:textId="77777777" w:rsidR="00FC1102" w:rsidRDefault="00FC1102" w:rsidP="00012123">
            <w:pPr>
              <w:autoSpaceDE w:val="0"/>
              <w:autoSpaceDN w:val="0"/>
              <w:adjustRightInd w:val="0"/>
            </w:pPr>
            <w:r>
              <w:t>A</w:t>
            </w:r>
          </w:p>
        </w:tc>
      </w:tr>
      <w:tr w:rsidR="00FC1102" w14:paraId="38385DF8" w14:textId="77777777" w:rsidTr="00012123">
        <w:trPr>
          <w:trHeight w:val="371"/>
        </w:trPr>
        <w:tc>
          <w:tcPr>
            <w:tcW w:w="3114" w:type="dxa"/>
          </w:tcPr>
          <w:p w14:paraId="11F4FFB7" w14:textId="77777777" w:rsidR="00FC1102" w:rsidRPr="00362C24" w:rsidRDefault="00FC1102" w:rsidP="00012123">
            <w:pPr>
              <w:rPr>
                <w:rFonts w:ascii="Arial" w:hAnsi="Arial" w:cs="Arial"/>
              </w:rPr>
            </w:pPr>
            <w:r w:rsidRPr="00362C24">
              <w:rPr>
                <w:rFonts w:ascii="Arial" w:hAnsi="Arial" w:cs="Arial"/>
              </w:rPr>
              <w:t>Claridad en la exposición</w:t>
            </w:r>
          </w:p>
        </w:tc>
        <w:tc>
          <w:tcPr>
            <w:tcW w:w="1843" w:type="dxa"/>
          </w:tcPr>
          <w:p w14:paraId="7F02D5AF" w14:textId="77777777" w:rsidR="00FC1102" w:rsidRPr="00362C24" w:rsidRDefault="00FC1102" w:rsidP="00012123">
            <w:pPr>
              <w:autoSpaceDE w:val="0"/>
              <w:autoSpaceDN w:val="0"/>
              <w:adjustRightInd w:val="0"/>
              <w:rPr>
                <w:rFonts w:ascii="Arial" w:hAnsi="Arial" w:cs="Arial"/>
              </w:rPr>
            </w:pPr>
            <w:r>
              <w:rPr>
                <w:rFonts w:ascii="Arial" w:hAnsi="Arial" w:cs="Arial"/>
              </w:rPr>
              <w:t>Es claro</w:t>
            </w:r>
          </w:p>
        </w:tc>
        <w:tc>
          <w:tcPr>
            <w:tcW w:w="1842" w:type="dxa"/>
          </w:tcPr>
          <w:p w14:paraId="2ACCA259" w14:textId="77777777" w:rsidR="00FC1102" w:rsidRPr="00362C24" w:rsidRDefault="00FC1102" w:rsidP="00012123">
            <w:pPr>
              <w:autoSpaceDE w:val="0"/>
              <w:autoSpaceDN w:val="0"/>
              <w:adjustRightInd w:val="0"/>
              <w:rPr>
                <w:rFonts w:ascii="Arial" w:hAnsi="Arial" w:cs="Arial"/>
              </w:rPr>
            </w:pPr>
            <w:r>
              <w:rPr>
                <w:rFonts w:ascii="Arial" w:hAnsi="Arial" w:cs="Arial"/>
              </w:rPr>
              <w:t xml:space="preserve">Falta claridad </w:t>
            </w:r>
          </w:p>
        </w:tc>
        <w:tc>
          <w:tcPr>
            <w:tcW w:w="1701" w:type="dxa"/>
          </w:tcPr>
          <w:p w14:paraId="077CE8E8" w14:textId="77777777" w:rsidR="00FC1102" w:rsidRPr="00362C24" w:rsidRDefault="00FC1102" w:rsidP="00012123">
            <w:pPr>
              <w:autoSpaceDE w:val="0"/>
              <w:autoSpaceDN w:val="0"/>
              <w:adjustRightInd w:val="0"/>
              <w:rPr>
                <w:rFonts w:ascii="Arial" w:hAnsi="Arial" w:cs="Arial"/>
              </w:rPr>
            </w:pPr>
            <w:r>
              <w:rPr>
                <w:rFonts w:ascii="Arial" w:hAnsi="Arial" w:cs="Arial"/>
              </w:rPr>
              <w:t xml:space="preserve">No es claro. </w:t>
            </w:r>
          </w:p>
        </w:tc>
        <w:tc>
          <w:tcPr>
            <w:tcW w:w="1701" w:type="dxa"/>
          </w:tcPr>
          <w:p w14:paraId="5DFFC513" w14:textId="622484F1" w:rsidR="00FC1102" w:rsidRDefault="00FC1102" w:rsidP="00012123">
            <w:pPr>
              <w:autoSpaceDE w:val="0"/>
              <w:autoSpaceDN w:val="0"/>
              <w:adjustRightInd w:val="0"/>
            </w:pPr>
            <w:r>
              <w:t>Podría ser más claro, hay repetición de ideas y conceptos</w:t>
            </w:r>
            <w:r w:rsidR="004D40D2">
              <w:t>, sobre</w:t>
            </w:r>
            <w:bookmarkStart w:id="1" w:name="_GoBack"/>
            <w:bookmarkEnd w:id="1"/>
            <w:r>
              <w:t xml:space="preserve">todo en los primeros párrafos.  </w:t>
            </w:r>
          </w:p>
        </w:tc>
      </w:tr>
      <w:tr w:rsidR="00FC1102" w14:paraId="4070BBDC" w14:textId="77777777" w:rsidTr="00012123">
        <w:trPr>
          <w:trHeight w:val="451"/>
        </w:trPr>
        <w:tc>
          <w:tcPr>
            <w:tcW w:w="3114" w:type="dxa"/>
          </w:tcPr>
          <w:p w14:paraId="6579B46E" w14:textId="77777777" w:rsidR="00FC1102" w:rsidRPr="00362C24" w:rsidRDefault="00FC1102" w:rsidP="00012123">
            <w:pPr>
              <w:rPr>
                <w:rFonts w:ascii="Arial" w:hAnsi="Arial" w:cs="Arial"/>
              </w:rPr>
            </w:pPr>
            <w:r>
              <w:rPr>
                <w:rFonts w:ascii="Arial" w:hAnsi="Arial" w:cs="Arial"/>
              </w:rPr>
              <w:t>Consideración del formato</w:t>
            </w:r>
          </w:p>
        </w:tc>
        <w:tc>
          <w:tcPr>
            <w:tcW w:w="1843" w:type="dxa"/>
          </w:tcPr>
          <w:p w14:paraId="090BC8CA" w14:textId="77777777" w:rsidR="00FC1102" w:rsidRPr="00362C24" w:rsidRDefault="00FC1102" w:rsidP="00012123">
            <w:pPr>
              <w:autoSpaceDE w:val="0"/>
              <w:autoSpaceDN w:val="0"/>
              <w:adjustRightInd w:val="0"/>
              <w:rPr>
                <w:rFonts w:ascii="Arial" w:hAnsi="Arial" w:cs="Arial"/>
              </w:rPr>
            </w:pPr>
            <w:r>
              <w:rPr>
                <w:rFonts w:ascii="Arial" w:hAnsi="Arial" w:cs="Arial"/>
              </w:rPr>
              <w:t>Cumple con los requisitos</w:t>
            </w:r>
          </w:p>
        </w:tc>
        <w:tc>
          <w:tcPr>
            <w:tcW w:w="1842" w:type="dxa"/>
          </w:tcPr>
          <w:p w14:paraId="2422A548" w14:textId="77777777" w:rsidR="00FC1102" w:rsidRPr="00362C24" w:rsidRDefault="00FC1102" w:rsidP="00012123">
            <w:pPr>
              <w:autoSpaceDE w:val="0"/>
              <w:autoSpaceDN w:val="0"/>
              <w:adjustRightInd w:val="0"/>
              <w:rPr>
                <w:rFonts w:ascii="Arial" w:hAnsi="Arial" w:cs="Arial"/>
              </w:rPr>
            </w:pPr>
          </w:p>
        </w:tc>
        <w:tc>
          <w:tcPr>
            <w:tcW w:w="1701" w:type="dxa"/>
          </w:tcPr>
          <w:p w14:paraId="602B81F6" w14:textId="77777777" w:rsidR="00FC1102" w:rsidRPr="00362C24" w:rsidRDefault="00FC1102" w:rsidP="00012123">
            <w:pPr>
              <w:autoSpaceDE w:val="0"/>
              <w:autoSpaceDN w:val="0"/>
              <w:adjustRightInd w:val="0"/>
              <w:rPr>
                <w:rFonts w:ascii="Arial" w:hAnsi="Arial" w:cs="Arial"/>
              </w:rPr>
            </w:pPr>
            <w:r>
              <w:rPr>
                <w:rFonts w:ascii="Arial" w:hAnsi="Arial" w:cs="Arial"/>
              </w:rPr>
              <w:t>Cumple con los requisitos</w:t>
            </w:r>
          </w:p>
        </w:tc>
        <w:tc>
          <w:tcPr>
            <w:tcW w:w="1701" w:type="dxa"/>
          </w:tcPr>
          <w:p w14:paraId="0025AD29" w14:textId="77777777" w:rsidR="00FC1102" w:rsidRDefault="00FC1102" w:rsidP="00012123">
            <w:pPr>
              <w:autoSpaceDE w:val="0"/>
              <w:autoSpaceDN w:val="0"/>
              <w:adjustRightInd w:val="0"/>
            </w:pPr>
            <w:r>
              <w:t>A</w:t>
            </w:r>
          </w:p>
        </w:tc>
      </w:tr>
      <w:tr w:rsidR="00FC1102" w14:paraId="294726FF" w14:textId="77777777" w:rsidTr="00012123">
        <w:trPr>
          <w:trHeight w:val="451"/>
        </w:trPr>
        <w:tc>
          <w:tcPr>
            <w:tcW w:w="3114" w:type="dxa"/>
          </w:tcPr>
          <w:p w14:paraId="3FE3C914" w14:textId="77777777" w:rsidR="00FC1102" w:rsidRDefault="00FC1102" w:rsidP="00012123">
            <w:pPr>
              <w:rPr>
                <w:rFonts w:ascii="Arial" w:hAnsi="Arial" w:cs="Arial"/>
              </w:rPr>
            </w:pPr>
            <w:r>
              <w:rPr>
                <w:rFonts w:ascii="Arial" w:hAnsi="Arial" w:cs="Arial"/>
              </w:rPr>
              <w:t xml:space="preserve">Redacción </w:t>
            </w:r>
          </w:p>
        </w:tc>
        <w:tc>
          <w:tcPr>
            <w:tcW w:w="1843" w:type="dxa"/>
          </w:tcPr>
          <w:p w14:paraId="20A5EA8C" w14:textId="77777777" w:rsidR="00FC1102" w:rsidRDefault="00FC1102" w:rsidP="00012123">
            <w:pPr>
              <w:autoSpaceDE w:val="0"/>
              <w:autoSpaceDN w:val="0"/>
              <w:adjustRightInd w:val="0"/>
              <w:rPr>
                <w:rFonts w:ascii="Arial" w:hAnsi="Arial" w:cs="Arial"/>
              </w:rPr>
            </w:pPr>
            <w:r>
              <w:rPr>
                <w:rFonts w:ascii="Arial" w:hAnsi="Arial" w:cs="Arial"/>
              </w:rPr>
              <w:t>La redacción es apropiada.</w:t>
            </w:r>
          </w:p>
        </w:tc>
        <w:tc>
          <w:tcPr>
            <w:tcW w:w="1842" w:type="dxa"/>
          </w:tcPr>
          <w:p w14:paraId="1823AE04" w14:textId="77777777" w:rsidR="00FC1102" w:rsidRPr="00362C24" w:rsidRDefault="00FC1102" w:rsidP="00012123">
            <w:pPr>
              <w:autoSpaceDE w:val="0"/>
              <w:autoSpaceDN w:val="0"/>
              <w:adjustRightInd w:val="0"/>
              <w:rPr>
                <w:rFonts w:ascii="Arial" w:hAnsi="Arial" w:cs="Arial"/>
              </w:rPr>
            </w:pPr>
            <w:r>
              <w:rPr>
                <w:rFonts w:ascii="Arial" w:hAnsi="Arial" w:cs="Arial"/>
              </w:rPr>
              <w:t>La redacción es medianamente apropiada</w:t>
            </w:r>
          </w:p>
        </w:tc>
        <w:tc>
          <w:tcPr>
            <w:tcW w:w="1701" w:type="dxa"/>
          </w:tcPr>
          <w:p w14:paraId="2BD788ED" w14:textId="77777777" w:rsidR="00FC1102" w:rsidRDefault="00FC1102" w:rsidP="00012123">
            <w:pPr>
              <w:autoSpaceDE w:val="0"/>
              <w:autoSpaceDN w:val="0"/>
              <w:adjustRightInd w:val="0"/>
              <w:rPr>
                <w:rFonts w:ascii="Arial" w:hAnsi="Arial" w:cs="Arial"/>
              </w:rPr>
            </w:pPr>
            <w:r>
              <w:rPr>
                <w:rFonts w:ascii="Arial" w:hAnsi="Arial" w:cs="Arial"/>
              </w:rPr>
              <w:t>La redacción no es apropiada.</w:t>
            </w:r>
          </w:p>
        </w:tc>
        <w:tc>
          <w:tcPr>
            <w:tcW w:w="1701" w:type="dxa"/>
          </w:tcPr>
          <w:p w14:paraId="06ACABCA" w14:textId="77777777" w:rsidR="00FC1102" w:rsidRDefault="00FC1102" w:rsidP="00012123">
            <w:pPr>
              <w:autoSpaceDE w:val="0"/>
              <w:autoSpaceDN w:val="0"/>
              <w:adjustRightInd w:val="0"/>
            </w:pPr>
            <w:r>
              <w:t>Es posible mejorar la redacción.</w:t>
            </w:r>
          </w:p>
        </w:tc>
      </w:tr>
    </w:tbl>
    <w:p w14:paraId="29AFCA79" w14:textId="77777777" w:rsidR="00A2252B" w:rsidRDefault="00A2252B">
      <w:pPr>
        <w:ind w:firstLine="720"/>
        <w:jc w:val="both"/>
        <w:rPr>
          <w:sz w:val="24"/>
          <w:szCs w:val="24"/>
        </w:rPr>
      </w:pPr>
    </w:p>
    <w:sectPr w:rsidR="00A2252B">
      <w:headerReference w:type="default" r:id="rId10"/>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ía Belén Tapia De la Fuente" w:date="2020-09-04T19:17:00Z" w:initials="MBTDlF">
    <w:p w14:paraId="4EBAA4E2" w14:textId="77777777" w:rsidR="00FC1102" w:rsidRDefault="00FC1102">
      <w:pPr>
        <w:pStyle w:val="Textocomentario"/>
      </w:pPr>
      <w:r>
        <w:rPr>
          <w:rStyle w:val="Refdecomentario"/>
        </w:rPr>
        <w:annotationRef/>
      </w:r>
      <w:r>
        <w:t>Revisar concepto “comunidad del conocimiento”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BAA4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C3085" w14:textId="77777777" w:rsidR="000966EA" w:rsidRDefault="000966EA">
      <w:pPr>
        <w:spacing w:line="240" w:lineRule="auto"/>
      </w:pPr>
      <w:r>
        <w:separator/>
      </w:r>
    </w:p>
  </w:endnote>
  <w:endnote w:type="continuationSeparator" w:id="0">
    <w:p w14:paraId="66512817" w14:textId="77777777" w:rsidR="000966EA" w:rsidRDefault="0009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1CE96" w14:textId="77777777" w:rsidR="000966EA" w:rsidRDefault="000966EA">
      <w:pPr>
        <w:spacing w:line="240" w:lineRule="auto"/>
      </w:pPr>
      <w:r>
        <w:separator/>
      </w:r>
    </w:p>
  </w:footnote>
  <w:footnote w:type="continuationSeparator" w:id="0">
    <w:p w14:paraId="230AD5EF" w14:textId="77777777" w:rsidR="000966EA" w:rsidRDefault="000966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DA714" w14:textId="77777777" w:rsidR="00A2252B" w:rsidRDefault="00A225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66AA4"/>
    <w:multiLevelType w:val="multilevel"/>
    <w:tmpl w:val="A8987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a Belén Tapia De la Fuente">
    <w15:presenceInfo w15:providerId="None" w15:userId="María Belén Tapia De la Fu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2B"/>
    <w:rsid w:val="000966EA"/>
    <w:rsid w:val="000D3E0A"/>
    <w:rsid w:val="002B46A1"/>
    <w:rsid w:val="004D40D2"/>
    <w:rsid w:val="00824D1E"/>
    <w:rsid w:val="00A2252B"/>
    <w:rsid w:val="00E45BB1"/>
    <w:rsid w:val="00FC11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83DF"/>
  <w15:docId w15:val="{3C366BBD-564C-49C2-953A-134912A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419"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FC1102"/>
    <w:pPr>
      <w:spacing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C1102"/>
    <w:rPr>
      <w:sz w:val="16"/>
      <w:szCs w:val="16"/>
    </w:rPr>
  </w:style>
  <w:style w:type="paragraph" w:styleId="Textocomentario">
    <w:name w:val="annotation text"/>
    <w:basedOn w:val="Normal"/>
    <w:link w:val="TextocomentarioCar"/>
    <w:uiPriority w:val="99"/>
    <w:semiHidden/>
    <w:unhideWhenUsed/>
    <w:rsid w:val="00FC11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1102"/>
    <w:rPr>
      <w:sz w:val="20"/>
      <w:szCs w:val="20"/>
    </w:rPr>
  </w:style>
  <w:style w:type="paragraph" w:styleId="Asuntodelcomentario">
    <w:name w:val="annotation subject"/>
    <w:basedOn w:val="Textocomentario"/>
    <w:next w:val="Textocomentario"/>
    <w:link w:val="AsuntodelcomentarioCar"/>
    <w:uiPriority w:val="99"/>
    <w:semiHidden/>
    <w:unhideWhenUsed/>
    <w:rsid w:val="00FC1102"/>
    <w:rPr>
      <w:b/>
      <w:bCs/>
    </w:rPr>
  </w:style>
  <w:style w:type="character" w:customStyle="1" w:styleId="AsuntodelcomentarioCar">
    <w:name w:val="Asunto del comentario Car"/>
    <w:basedOn w:val="TextocomentarioCar"/>
    <w:link w:val="Asuntodelcomentario"/>
    <w:uiPriority w:val="99"/>
    <w:semiHidden/>
    <w:rsid w:val="00FC1102"/>
    <w:rPr>
      <w:b/>
      <w:bCs/>
      <w:sz w:val="20"/>
      <w:szCs w:val="20"/>
    </w:rPr>
  </w:style>
  <w:style w:type="paragraph" w:styleId="Textodeglobo">
    <w:name w:val="Balloon Text"/>
    <w:basedOn w:val="Normal"/>
    <w:link w:val="TextodegloboCar"/>
    <w:uiPriority w:val="99"/>
    <w:semiHidden/>
    <w:unhideWhenUsed/>
    <w:rsid w:val="00FC110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1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6342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Belén</dc:creator>
  <cp:lastModifiedBy>María Belén Tapia De la Fuente</cp:lastModifiedBy>
  <cp:revision>3</cp:revision>
  <dcterms:created xsi:type="dcterms:W3CDTF">2020-09-04T23:21:00Z</dcterms:created>
  <dcterms:modified xsi:type="dcterms:W3CDTF">2020-09-24T23:20:00Z</dcterms:modified>
</cp:coreProperties>
</file>