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846"/>
        <w:gridCol w:w="1843"/>
        <w:gridCol w:w="4819"/>
        <w:gridCol w:w="2268"/>
      </w:tblGrid>
      <w:tr w:rsidR="000D2528" w:rsidTr="000D2528">
        <w:tc>
          <w:tcPr>
            <w:tcW w:w="846" w:type="dxa"/>
          </w:tcPr>
          <w:p w:rsidR="00B37DF3" w:rsidRDefault="00B37DF3">
            <w:r>
              <w:t>24 sep</w:t>
            </w:r>
          </w:p>
        </w:tc>
        <w:tc>
          <w:tcPr>
            <w:tcW w:w="1843" w:type="dxa"/>
          </w:tcPr>
          <w:p w:rsidR="00B37DF3" w:rsidRDefault="00B37DF3">
            <w:r>
              <w:t>intro</w:t>
            </w:r>
          </w:p>
        </w:tc>
        <w:tc>
          <w:tcPr>
            <w:tcW w:w="4819" w:type="dxa"/>
          </w:tcPr>
          <w:p w:rsidR="00B37DF3" w:rsidRDefault="00B37DF3"/>
        </w:tc>
        <w:tc>
          <w:tcPr>
            <w:tcW w:w="2268" w:type="dxa"/>
          </w:tcPr>
          <w:p w:rsidR="00B37DF3" w:rsidRDefault="00B37DF3"/>
        </w:tc>
      </w:tr>
      <w:tr w:rsidR="000D2528" w:rsidTr="000D2528">
        <w:tc>
          <w:tcPr>
            <w:tcW w:w="846" w:type="dxa"/>
          </w:tcPr>
          <w:p w:rsidR="00B37DF3" w:rsidRDefault="00B37DF3">
            <w:r>
              <w:t>1 oct</w:t>
            </w:r>
          </w:p>
        </w:tc>
        <w:tc>
          <w:tcPr>
            <w:tcW w:w="1843" w:type="dxa"/>
          </w:tcPr>
          <w:p w:rsidR="00B37DF3" w:rsidRDefault="00B37DF3">
            <w:r>
              <w:t>Persona / individuo</w:t>
            </w:r>
          </w:p>
        </w:tc>
        <w:tc>
          <w:tcPr>
            <w:tcW w:w="4819" w:type="dxa"/>
          </w:tcPr>
          <w:p w:rsidR="00B37DF3" w:rsidRDefault="00B37DF3" w:rsidP="00B37DF3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>M. Mauss “Una categoría de la mente humana: la noción de persona y la noción del “yo” en Mauss, M. Antropología y Sociología, B. Aires: Eudeba.</w:t>
            </w:r>
          </w:p>
          <w:p w:rsidR="00B37DF3" w:rsidRPr="006E39E1" w:rsidRDefault="00B37DF3" w:rsidP="00B37DF3">
            <w:pPr>
              <w:ind w:left="720"/>
              <w:rPr>
                <w:rFonts w:ascii="Times New Roman" w:hAnsi="Times New Roman"/>
              </w:rPr>
            </w:pPr>
          </w:p>
          <w:p w:rsidR="00B37DF3" w:rsidRDefault="00B37DF3" w:rsidP="00B37DF3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 xml:space="preserve">Esposito, R. “Nada en común” en </w:t>
            </w:r>
            <w:r w:rsidRPr="006E39E1">
              <w:rPr>
                <w:rFonts w:ascii="Times New Roman" w:hAnsi="Times New Roman"/>
                <w:i/>
              </w:rPr>
              <w:t>Comunitas. Origen y destino de la comunidad</w:t>
            </w:r>
            <w:r>
              <w:rPr>
                <w:rFonts w:ascii="Times New Roman" w:hAnsi="Times New Roman"/>
              </w:rPr>
              <w:t>. B. Aires: Amorrortu.</w:t>
            </w:r>
          </w:p>
          <w:p w:rsidR="00B37DF3" w:rsidRDefault="00B37DF3"/>
        </w:tc>
        <w:tc>
          <w:tcPr>
            <w:tcW w:w="2268" w:type="dxa"/>
          </w:tcPr>
          <w:p w:rsidR="00B37DF3" w:rsidRDefault="00B37DF3"/>
        </w:tc>
      </w:tr>
      <w:tr w:rsidR="000D2528" w:rsidTr="000D2528">
        <w:tc>
          <w:tcPr>
            <w:tcW w:w="846" w:type="dxa"/>
          </w:tcPr>
          <w:p w:rsidR="00B37DF3" w:rsidRDefault="00B37DF3">
            <w:r>
              <w:t>8 oct</w:t>
            </w:r>
          </w:p>
        </w:tc>
        <w:tc>
          <w:tcPr>
            <w:tcW w:w="1843" w:type="dxa"/>
          </w:tcPr>
          <w:p w:rsidR="00B37DF3" w:rsidRDefault="00B37DF3">
            <w:r>
              <w:t>Persona /cosa</w:t>
            </w:r>
          </w:p>
        </w:tc>
        <w:tc>
          <w:tcPr>
            <w:tcW w:w="4819" w:type="dxa"/>
          </w:tcPr>
          <w:p w:rsidR="00B37DF3" w:rsidRDefault="00B37DF3" w:rsidP="00B37DF3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 xml:space="preserve">Kopytoff, J.“La biografía social de las cosas”, en Appadurai, A. </w:t>
            </w:r>
            <w:r w:rsidRPr="006E39E1">
              <w:rPr>
                <w:rFonts w:ascii="Times New Roman" w:hAnsi="Times New Roman"/>
                <w:i/>
              </w:rPr>
              <w:t>La vida social de las cosas</w:t>
            </w:r>
            <w:r w:rsidRPr="006E39E1">
              <w:rPr>
                <w:rFonts w:ascii="Times New Roman" w:hAnsi="Times New Roman"/>
              </w:rPr>
              <w:t>, México: Grijalba.</w:t>
            </w:r>
          </w:p>
          <w:p w:rsidR="00B37DF3" w:rsidRDefault="00B37DF3" w:rsidP="00B37DF3">
            <w:pPr>
              <w:ind w:left="720"/>
              <w:rPr>
                <w:rFonts w:ascii="Times New Roman" w:hAnsi="Times New Roman"/>
              </w:rPr>
            </w:pPr>
          </w:p>
          <w:p w:rsidR="00B37DF3" w:rsidRPr="00B37DF3" w:rsidRDefault="00B37DF3" w:rsidP="00B37DF3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 xml:space="preserve">Esposito, R. </w:t>
            </w:r>
            <w:r w:rsidRPr="006E39E1">
              <w:rPr>
                <w:rFonts w:ascii="Times New Roman" w:hAnsi="Times New Roman"/>
                <w:i/>
              </w:rPr>
              <w:t>Las personas y las cosas</w:t>
            </w:r>
            <w:r w:rsidRPr="006E39E1">
              <w:rPr>
                <w:rFonts w:ascii="Times New Roman" w:hAnsi="Times New Roman"/>
              </w:rPr>
              <w:t>, B. Aires: Katz ed.</w:t>
            </w:r>
            <w:r>
              <w:rPr>
                <w:rFonts w:ascii="Times New Roman" w:hAnsi="Times New Roman"/>
              </w:rPr>
              <w:t xml:space="preserve"> (introducción)</w:t>
            </w:r>
          </w:p>
          <w:p w:rsidR="00B37DF3" w:rsidRPr="006E39E1" w:rsidRDefault="00B37DF3" w:rsidP="00B37DF3">
            <w:pPr>
              <w:ind w:left="720"/>
              <w:contextualSpacing/>
              <w:jc w:val="both"/>
              <w:rPr>
                <w:rFonts w:ascii="Times New Roman" w:hAnsi="Times New Roman"/>
                <w:i/>
              </w:rPr>
            </w:pPr>
          </w:p>
          <w:p w:rsidR="00B37DF3" w:rsidRDefault="00B37DF3"/>
        </w:tc>
        <w:tc>
          <w:tcPr>
            <w:tcW w:w="2268" w:type="dxa"/>
          </w:tcPr>
          <w:p w:rsidR="00B37DF3" w:rsidRDefault="00B37DF3"/>
        </w:tc>
      </w:tr>
      <w:tr w:rsidR="000D2528" w:rsidTr="000D2528">
        <w:tc>
          <w:tcPr>
            <w:tcW w:w="846" w:type="dxa"/>
          </w:tcPr>
          <w:p w:rsidR="00B37DF3" w:rsidRDefault="00B37DF3">
            <w:r>
              <w:t>15 oct</w:t>
            </w:r>
          </w:p>
        </w:tc>
        <w:tc>
          <w:tcPr>
            <w:tcW w:w="1843" w:type="dxa"/>
          </w:tcPr>
          <w:p w:rsidR="00B37DF3" w:rsidRDefault="00B37DF3">
            <w:r>
              <w:t>Cosa /agencia 1</w:t>
            </w:r>
          </w:p>
        </w:tc>
        <w:tc>
          <w:tcPr>
            <w:tcW w:w="4819" w:type="dxa"/>
          </w:tcPr>
          <w:p w:rsidR="00B37DF3" w:rsidRPr="00B37DF3" w:rsidRDefault="00B37DF3" w:rsidP="00B37DF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i/>
              </w:rPr>
            </w:pPr>
            <w:r w:rsidRPr="006E39E1">
              <w:rPr>
                <w:rFonts w:ascii="Times New Roman" w:hAnsi="Times New Roman"/>
              </w:rPr>
              <w:t xml:space="preserve">Gell, A. Cap. 9 de </w:t>
            </w:r>
            <w:r w:rsidRPr="006E39E1">
              <w:rPr>
                <w:rFonts w:ascii="Times New Roman" w:hAnsi="Times New Roman"/>
                <w:i/>
              </w:rPr>
              <w:t xml:space="preserve">Arte y agencia, </w:t>
            </w:r>
            <w:r w:rsidRPr="006E39E1">
              <w:rPr>
                <w:rFonts w:ascii="Times New Roman" w:hAnsi="Times New Roman"/>
              </w:rPr>
              <w:t>B. Aires: SB.</w:t>
            </w:r>
          </w:p>
          <w:p w:rsidR="00B37DF3" w:rsidRPr="00F716A7" w:rsidRDefault="00B37DF3" w:rsidP="00B37DF3">
            <w:pPr>
              <w:ind w:left="720"/>
              <w:contextualSpacing/>
              <w:jc w:val="both"/>
              <w:rPr>
                <w:rFonts w:ascii="Times New Roman" w:hAnsi="Times New Roman"/>
                <w:i/>
              </w:rPr>
            </w:pPr>
          </w:p>
          <w:p w:rsidR="00B37DF3" w:rsidRDefault="00B37DF3" w:rsidP="00B37DF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i/>
              </w:rPr>
            </w:pPr>
            <w:r w:rsidRPr="006E39E1">
              <w:rPr>
                <w:rFonts w:ascii="Times New Roman" w:hAnsi="Times New Roman"/>
              </w:rPr>
              <w:t xml:space="preserve">Latour, B “Conclusión” en </w:t>
            </w:r>
            <w:r w:rsidRPr="006E39E1">
              <w:rPr>
                <w:rFonts w:ascii="Times New Roman" w:hAnsi="Times New Roman"/>
                <w:i/>
              </w:rPr>
              <w:t>La esperanza de Pandora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B37DF3" w:rsidRDefault="00B37DF3" w:rsidP="00B37DF3">
            <w:pPr>
              <w:ind w:left="720"/>
              <w:contextualSpacing/>
              <w:jc w:val="both"/>
            </w:pPr>
          </w:p>
        </w:tc>
        <w:tc>
          <w:tcPr>
            <w:tcW w:w="2268" w:type="dxa"/>
          </w:tcPr>
          <w:p w:rsidR="00B37DF3" w:rsidRDefault="00B37DF3"/>
        </w:tc>
      </w:tr>
      <w:tr w:rsidR="000D2528" w:rsidTr="000D2528">
        <w:tc>
          <w:tcPr>
            <w:tcW w:w="846" w:type="dxa"/>
          </w:tcPr>
          <w:p w:rsidR="00B37DF3" w:rsidRDefault="00B37DF3">
            <w:r>
              <w:t>2</w:t>
            </w:r>
            <w:r w:rsidR="004F56BE">
              <w:t xml:space="preserve">9 </w:t>
            </w:r>
            <w:r>
              <w:t>oct</w:t>
            </w:r>
          </w:p>
        </w:tc>
        <w:tc>
          <w:tcPr>
            <w:tcW w:w="1843" w:type="dxa"/>
          </w:tcPr>
          <w:p w:rsidR="00B37DF3" w:rsidRDefault="00B37DF3">
            <w:r>
              <w:t>Cosa / agencia 2</w:t>
            </w:r>
          </w:p>
        </w:tc>
        <w:tc>
          <w:tcPr>
            <w:tcW w:w="4819" w:type="dxa"/>
          </w:tcPr>
          <w:p w:rsidR="00B37DF3" w:rsidRPr="006E39E1" w:rsidRDefault="00B37DF3" w:rsidP="00B37DF3">
            <w:pPr>
              <w:contextualSpacing/>
              <w:jc w:val="both"/>
              <w:rPr>
                <w:rFonts w:ascii="Times New Roman" w:hAnsi="Times New Roman"/>
                <w:i/>
              </w:rPr>
            </w:pPr>
          </w:p>
          <w:p w:rsidR="00B37DF3" w:rsidRDefault="00B37DF3" w:rsidP="00B37DF3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>Bazin, J.  “Clavos en la Gioconda” (traducción inédita)</w:t>
            </w:r>
            <w:r>
              <w:rPr>
                <w:rFonts w:ascii="Times New Roman" w:hAnsi="Times New Roman"/>
              </w:rPr>
              <w:t>.</w:t>
            </w:r>
          </w:p>
          <w:p w:rsidR="00B37DF3" w:rsidRDefault="00B37DF3" w:rsidP="00B37DF3">
            <w:pPr>
              <w:contextualSpacing/>
              <w:jc w:val="both"/>
              <w:rPr>
                <w:rFonts w:ascii="Times New Roman" w:hAnsi="Times New Roman"/>
              </w:rPr>
            </w:pPr>
          </w:p>
          <w:p w:rsidR="00B37DF3" w:rsidRPr="006E39E1" w:rsidRDefault="00B37DF3" w:rsidP="00B37DF3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>Sepúlveda, Tomás, P. Ayala y C. Aguilar s/f. Retiro de Cuerpos Humanos de Exhibición del Museo Arqueológico de San Pedro de Atacama.</w:t>
            </w:r>
          </w:p>
          <w:p w:rsidR="00B37DF3" w:rsidRPr="006E39E1" w:rsidRDefault="00B37DF3" w:rsidP="00B37DF3">
            <w:pPr>
              <w:ind w:left="454"/>
              <w:rPr>
                <w:rFonts w:ascii="Times New Roman" w:hAnsi="Times New Roman"/>
              </w:rPr>
            </w:pPr>
          </w:p>
          <w:p w:rsidR="00B37DF3" w:rsidRDefault="00B37DF3"/>
        </w:tc>
        <w:tc>
          <w:tcPr>
            <w:tcW w:w="2268" w:type="dxa"/>
          </w:tcPr>
          <w:p w:rsidR="00B37DF3" w:rsidRDefault="00872783">
            <w:r>
              <w:t>Video</w:t>
            </w:r>
          </w:p>
          <w:p w:rsidR="00872783" w:rsidRDefault="00872783"/>
          <w:p w:rsidR="00872783" w:rsidRPr="006E39E1" w:rsidRDefault="00872783" w:rsidP="00872783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>. Retiro de Cuerpos Humanos de Exhibición del Museo Arqueológico de San Pedro de Atacama.</w:t>
            </w:r>
          </w:p>
          <w:p w:rsidR="00872783" w:rsidRDefault="00872783"/>
        </w:tc>
      </w:tr>
      <w:tr w:rsidR="000D2528" w:rsidTr="000D2528">
        <w:tc>
          <w:tcPr>
            <w:tcW w:w="846" w:type="dxa"/>
          </w:tcPr>
          <w:p w:rsidR="00B37DF3" w:rsidRDefault="004F56BE">
            <w:r>
              <w:t>5 nov</w:t>
            </w:r>
          </w:p>
        </w:tc>
        <w:tc>
          <w:tcPr>
            <w:tcW w:w="1843" w:type="dxa"/>
          </w:tcPr>
          <w:p w:rsidR="00B37DF3" w:rsidRDefault="00B37DF3">
            <w:r>
              <w:t>Persona / cuerpo</w:t>
            </w:r>
          </w:p>
        </w:tc>
        <w:tc>
          <w:tcPr>
            <w:tcW w:w="4819" w:type="dxa"/>
          </w:tcPr>
          <w:p w:rsidR="00B37DF3" w:rsidRPr="006E39E1" w:rsidRDefault="00B37DF3" w:rsidP="00B37DF3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 xml:space="preserve">Viveiros de Castro, E.  2004 “los pronombres cosmológicos y el prespectivismo amerindio” en Surayès, A. (ed.) </w:t>
            </w:r>
            <w:r w:rsidRPr="006E39E1">
              <w:rPr>
                <w:rFonts w:ascii="Times New Roman" w:hAnsi="Times New Roman"/>
                <w:i/>
              </w:rPr>
              <w:t>Tierra adentro</w:t>
            </w:r>
            <w:r w:rsidRPr="006E39E1">
              <w:rPr>
                <w:rFonts w:ascii="Times New Roman" w:hAnsi="Times New Roman"/>
              </w:rPr>
              <w:t>, Lima: IGWA.</w:t>
            </w:r>
          </w:p>
          <w:p w:rsidR="00B37DF3" w:rsidRPr="006E39E1" w:rsidRDefault="00B37DF3" w:rsidP="00B37DF3">
            <w:pPr>
              <w:ind w:left="720"/>
              <w:contextualSpacing/>
              <w:rPr>
                <w:rFonts w:ascii="Times New Roman" w:hAnsi="Times New Roman"/>
              </w:rPr>
            </w:pPr>
          </w:p>
          <w:p w:rsidR="00B37DF3" w:rsidRPr="006E39E1" w:rsidRDefault="00B37DF3" w:rsidP="00B37DF3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6E39E1">
              <w:rPr>
                <w:rFonts w:ascii="Times New Roman" w:hAnsi="Times New Roman"/>
              </w:rPr>
              <w:t>Platt, T. 2002 “El feto agresivo: Parto, formación de la persona y mito-historia en los Ande”s. Estud. atacam. [online]. 2002, n.22</w:t>
            </w:r>
          </w:p>
          <w:p w:rsidR="00B37DF3" w:rsidRDefault="00B37DF3"/>
        </w:tc>
        <w:tc>
          <w:tcPr>
            <w:tcW w:w="2268" w:type="dxa"/>
          </w:tcPr>
          <w:p w:rsidR="00B37DF3" w:rsidRDefault="00B37DF3"/>
        </w:tc>
      </w:tr>
    </w:tbl>
    <w:p w:rsidR="00FC1AEA" w:rsidRDefault="004F56BE"/>
    <w:sectPr w:rsidR="00FC1A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4E0AD9"/>
    <w:multiLevelType w:val="hybridMultilevel"/>
    <w:tmpl w:val="F85A436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DF3"/>
    <w:rsid w:val="00063B95"/>
    <w:rsid w:val="000D2528"/>
    <w:rsid w:val="004F56BE"/>
    <w:rsid w:val="00872783"/>
    <w:rsid w:val="00B37DF3"/>
    <w:rsid w:val="00C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C3A1AF"/>
  <w15:chartTrackingRefBased/>
  <w15:docId w15:val="{55F6F320-C8C4-0E43-9B14-5498B1F2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3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37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Menard Poupin (menard)</dc:creator>
  <cp:keywords/>
  <dc:description/>
  <cp:lastModifiedBy>Andre Menard Poupin (menard)</cp:lastModifiedBy>
  <cp:revision>4</cp:revision>
  <dcterms:created xsi:type="dcterms:W3CDTF">2020-09-24T19:02:00Z</dcterms:created>
  <dcterms:modified xsi:type="dcterms:W3CDTF">2020-09-24T20:40:00Z</dcterms:modified>
</cp:coreProperties>
</file>