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B57" w:rsidRDefault="00D44367">
      <w:pPr>
        <w:pStyle w:val="Textoindependiente"/>
        <w:spacing w:before="62"/>
        <w:ind w:left="851" w:right="5233"/>
      </w:pPr>
      <w:r>
        <w:rPr>
          <w:noProof/>
          <w:lang w:val="es-CL" w:eastAsia="es-CL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976192</wp:posOffset>
            </wp:positionH>
            <wp:positionV relativeFrom="paragraph">
              <wp:posOffset>14796</wp:posOffset>
            </wp:positionV>
            <wp:extent cx="341800" cy="71503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800" cy="715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Universidad de Chile Facultad de Ciencias Sociales Escuela de Ciencias Sociales Carrera de Psicología</w:t>
      </w:r>
    </w:p>
    <w:p w:rsidR="00C95B57" w:rsidRDefault="00C95B57">
      <w:pPr>
        <w:pStyle w:val="Textoindependiente"/>
        <w:rPr>
          <w:sz w:val="20"/>
        </w:rPr>
      </w:pPr>
    </w:p>
    <w:p w:rsidR="00C95B57" w:rsidRDefault="00C95B57">
      <w:pPr>
        <w:pStyle w:val="Textoindependiente"/>
        <w:spacing w:before="5"/>
        <w:rPr>
          <w:sz w:val="21"/>
        </w:rPr>
      </w:pPr>
    </w:p>
    <w:p w:rsidR="00C95B57" w:rsidRDefault="00D44367">
      <w:pPr>
        <w:spacing w:before="87"/>
        <w:ind w:left="286" w:right="159"/>
        <w:jc w:val="center"/>
        <w:rPr>
          <w:b/>
          <w:sz w:val="28"/>
        </w:rPr>
      </w:pPr>
      <w:r>
        <w:rPr>
          <w:b/>
          <w:sz w:val="28"/>
        </w:rPr>
        <w:t>PROGRAMA</w:t>
      </w:r>
    </w:p>
    <w:p w:rsidR="00C95B57" w:rsidRDefault="00D44367">
      <w:pPr>
        <w:spacing w:before="128" w:line="242" w:lineRule="auto"/>
        <w:ind w:left="286" w:right="178"/>
        <w:jc w:val="center"/>
        <w:rPr>
          <w:b/>
          <w:sz w:val="24"/>
        </w:rPr>
      </w:pPr>
      <w:r>
        <w:rPr>
          <w:b/>
          <w:sz w:val="24"/>
        </w:rPr>
        <w:t>“</w:t>
      </w:r>
      <w:r w:rsidR="008746D7">
        <w:rPr>
          <w:b/>
          <w:sz w:val="24"/>
        </w:rPr>
        <w:t>GÉNERO Y CRIMINALIDA</w:t>
      </w:r>
      <w:r w:rsidR="00FE00F8">
        <w:rPr>
          <w:b/>
          <w:sz w:val="24"/>
        </w:rPr>
        <w:t>D</w:t>
      </w:r>
      <w:r w:rsidR="00BD0471">
        <w:rPr>
          <w:b/>
          <w:sz w:val="24"/>
        </w:rPr>
        <w:t xml:space="preserve">: APROXIMACIÓN A LA </w:t>
      </w:r>
      <w:r w:rsidR="00BD0471">
        <w:rPr>
          <w:b/>
          <w:lang w:val="es-CL"/>
        </w:rPr>
        <w:t>EVALUACIÓN E INTERVENCIÓN</w:t>
      </w:r>
      <w:r>
        <w:rPr>
          <w:b/>
          <w:sz w:val="24"/>
        </w:rPr>
        <w:t>”</w:t>
      </w:r>
    </w:p>
    <w:p w:rsidR="00C95B57" w:rsidRDefault="00C95B57">
      <w:pPr>
        <w:pStyle w:val="Textoindependiente"/>
        <w:rPr>
          <w:b/>
          <w:sz w:val="20"/>
        </w:rPr>
      </w:pPr>
    </w:p>
    <w:p w:rsidR="00C95B57" w:rsidRDefault="00C95B57">
      <w:pPr>
        <w:pStyle w:val="Textoindependiente"/>
        <w:spacing w:before="7"/>
        <w:rPr>
          <w:b/>
          <w:sz w:val="13"/>
        </w:rPr>
      </w:pPr>
    </w:p>
    <w:tbl>
      <w:tblPr>
        <w:tblStyle w:val="TableNormal"/>
        <w:tblW w:w="0" w:type="auto"/>
        <w:tblInd w:w="169" w:type="dxa"/>
        <w:tblLayout w:type="fixed"/>
        <w:tblLook w:val="01E0" w:firstRow="1" w:lastRow="1" w:firstColumn="1" w:lastColumn="1" w:noHBand="0" w:noVBand="0"/>
      </w:tblPr>
      <w:tblGrid>
        <w:gridCol w:w="2567"/>
        <w:gridCol w:w="6091"/>
      </w:tblGrid>
      <w:tr w:rsidR="00C95B57">
        <w:trPr>
          <w:trHeight w:val="273"/>
        </w:trPr>
        <w:tc>
          <w:tcPr>
            <w:tcW w:w="8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57" w:rsidRDefault="00D44367">
            <w:pPr>
              <w:pStyle w:val="TableParagraph"/>
              <w:spacing w:line="25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I.- Identificación de la actividad curricular</w:t>
            </w:r>
          </w:p>
        </w:tc>
      </w:tr>
      <w:tr w:rsidR="00C95B57">
        <w:trPr>
          <w:trHeight w:val="53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</w:tcBorders>
          </w:tcPr>
          <w:p w:rsidR="00C95B57" w:rsidRDefault="00C95B57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C95B57" w:rsidRDefault="00D44367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Carrera en que se dicta:</w:t>
            </w:r>
          </w:p>
        </w:tc>
        <w:tc>
          <w:tcPr>
            <w:tcW w:w="6091" w:type="dxa"/>
            <w:tcBorders>
              <w:top w:val="single" w:sz="4" w:space="0" w:color="000000"/>
              <w:right w:val="single" w:sz="4" w:space="0" w:color="000000"/>
            </w:tcBorders>
          </w:tcPr>
          <w:p w:rsidR="00C95B57" w:rsidRDefault="00C95B57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C95B57" w:rsidRDefault="00D44367">
            <w:pPr>
              <w:pStyle w:val="TableParagraph"/>
              <w:spacing w:line="265" w:lineRule="exact"/>
              <w:ind w:left="189"/>
              <w:rPr>
                <w:sz w:val="24"/>
              </w:rPr>
            </w:pPr>
            <w:r>
              <w:rPr>
                <w:sz w:val="24"/>
              </w:rPr>
              <w:t>Psicología</w:t>
            </w:r>
          </w:p>
        </w:tc>
      </w:tr>
      <w:tr w:rsidR="00C95B57">
        <w:trPr>
          <w:trHeight w:val="280"/>
        </w:trPr>
        <w:tc>
          <w:tcPr>
            <w:tcW w:w="2567" w:type="dxa"/>
            <w:tcBorders>
              <w:left w:val="single" w:sz="4" w:space="0" w:color="000000"/>
            </w:tcBorders>
          </w:tcPr>
          <w:p w:rsidR="00C95B57" w:rsidRDefault="00D44367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Profesor o equipo:</w:t>
            </w:r>
          </w:p>
        </w:tc>
        <w:tc>
          <w:tcPr>
            <w:tcW w:w="6091" w:type="dxa"/>
            <w:tcBorders>
              <w:right w:val="single" w:sz="4" w:space="0" w:color="000000"/>
            </w:tcBorders>
          </w:tcPr>
          <w:p w:rsidR="00C95B57" w:rsidRDefault="008746D7">
            <w:pPr>
              <w:pStyle w:val="TableParagraph"/>
              <w:spacing w:line="261" w:lineRule="exact"/>
              <w:ind w:left="189"/>
              <w:rPr>
                <w:sz w:val="24"/>
              </w:rPr>
            </w:pPr>
            <w:r>
              <w:rPr>
                <w:sz w:val="24"/>
              </w:rPr>
              <w:t>Paula Flores Zúñiga</w:t>
            </w:r>
          </w:p>
        </w:tc>
      </w:tr>
      <w:tr w:rsidR="00C95B57">
        <w:trPr>
          <w:trHeight w:val="278"/>
        </w:trPr>
        <w:tc>
          <w:tcPr>
            <w:tcW w:w="2567" w:type="dxa"/>
            <w:tcBorders>
              <w:left w:val="single" w:sz="4" w:space="0" w:color="000000"/>
            </w:tcBorders>
          </w:tcPr>
          <w:p w:rsidR="00C95B57" w:rsidRDefault="00D44367"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r>
              <w:rPr>
                <w:sz w:val="24"/>
              </w:rPr>
              <w:t>Ciclo al que pertenece:</w:t>
            </w:r>
          </w:p>
        </w:tc>
        <w:tc>
          <w:tcPr>
            <w:tcW w:w="6091" w:type="dxa"/>
            <w:tcBorders>
              <w:right w:val="single" w:sz="4" w:space="0" w:color="000000"/>
            </w:tcBorders>
          </w:tcPr>
          <w:p w:rsidR="00C95B57" w:rsidRDefault="00D44367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r>
              <w:rPr>
                <w:sz w:val="24"/>
              </w:rPr>
              <w:t>Especializado</w:t>
            </w:r>
          </w:p>
        </w:tc>
      </w:tr>
      <w:tr w:rsidR="00C95B57">
        <w:trPr>
          <w:trHeight w:val="276"/>
        </w:trPr>
        <w:tc>
          <w:tcPr>
            <w:tcW w:w="2567" w:type="dxa"/>
            <w:tcBorders>
              <w:left w:val="single" w:sz="4" w:space="0" w:color="000000"/>
            </w:tcBorders>
          </w:tcPr>
          <w:p w:rsidR="00C95B57" w:rsidRDefault="00D44367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Semestre:</w:t>
            </w:r>
          </w:p>
        </w:tc>
        <w:tc>
          <w:tcPr>
            <w:tcW w:w="6091" w:type="dxa"/>
            <w:tcBorders>
              <w:right w:val="single" w:sz="4" w:space="0" w:color="000000"/>
            </w:tcBorders>
          </w:tcPr>
          <w:p w:rsidR="00C95B57" w:rsidRDefault="00D44367"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2 semestre</w:t>
            </w:r>
          </w:p>
        </w:tc>
      </w:tr>
      <w:tr w:rsidR="00C95B57">
        <w:trPr>
          <w:trHeight w:val="273"/>
        </w:trPr>
        <w:tc>
          <w:tcPr>
            <w:tcW w:w="2567" w:type="dxa"/>
            <w:tcBorders>
              <w:left w:val="single" w:sz="4" w:space="0" w:color="000000"/>
            </w:tcBorders>
          </w:tcPr>
          <w:p w:rsidR="00C95B57" w:rsidRDefault="00D44367">
            <w:pPr>
              <w:pStyle w:val="TableParagraph"/>
              <w:spacing w:line="254" w:lineRule="exact"/>
              <w:ind w:left="119"/>
              <w:rPr>
                <w:sz w:val="24"/>
              </w:rPr>
            </w:pPr>
            <w:r>
              <w:rPr>
                <w:sz w:val="24"/>
              </w:rPr>
              <w:t>Modalidad:</w:t>
            </w:r>
          </w:p>
        </w:tc>
        <w:tc>
          <w:tcPr>
            <w:tcW w:w="6091" w:type="dxa"/>
            <w:tcBorders>
              <w:right w:val="single" w:sz="4" w:space="0" w:color="000000"/>
            </w:tcBorders>
          </w:tcPr>
          <w:p w:rsidR="00C95B57" w:rsidRDefault="00D44367">
            <w:pPr>
              <w:pStyle w:val="TableParagraph"/>
              <w:spacing w:line="254" w:lineRule="exact"/>
              <w:ind w:left="189"/>
              <w:rPr>
                <w:sz w:val="24"/>
              </w:rPr>
            </w:pPr>
            <w:r>
              <w:rPr>
                <w:sz w:val="24"/>
              </w:rPr>
              <w:t>Presencial</w:t>
            </w:r>
          </w:p>
        </w:tc>
      </w:tr>
      <w:tr w:rsidR="00C95B57">
        <w:trPr>
          <w:trHeight w:val="278"/>
        </w:trPr>
        <w:tc>
          <w:tcPr>
            <w:tcW w:w="2567" w:type="dxa"/>
            <w:tcBorders>
              <w:left w:val="single" w:sz="4" w:space="0" w:color="000000"/>
            </w:tcBorders>
          </w:tcPr>
          <w:p w:rsidR="00C95B57" w:rsidRDefault="00D44367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Carácter:</w:t>
            </w:r>
          </w:p>
        </w:tc>
        <w:tc>
          <w:tcPr>
            <w:tcW w:w="6091" w:type="dxa"/>
            <w:tcBorders>
              <w:right w:val="single" w:sz="4" w:space="0" w:color="000000"/>
            </w:tcBorders>
          </w:tcPr>
          <w:p w:rsidR="00C95B57" w:rsidRDefault="00D44367">
            <w:pPr>
              <w:pStyle w:val="TableParagraph"/>
              <w:spacing w:line="258" w:lineRule="exact"/>
              <w:ind w:left="189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 w:rsidR="00C95B57">
        <w:trPr>
          <w:trHeight w:val="285"/>
        </w:trPr>
        <w:tc>
          <w:tcPr>
            <w:tcW w:w="2567" w:type="dxa"/>
            <w:tcBorders>
              <w:left w:val="single" w:sz="4" w:space="0" w:color="000000"/>
            </w:tcBorders>
          </w:tcPr>
          <w:p w:rsidR="00C95B57" w:rsidRDefault="00D44367">
            <w:pPr>
              <w:pStyle w:val="TableParagraph"/>
              <w:spacing w:line="266" w:lineRule="exact"/>
              <w:ind w:left="119"/>
              <w:rPr>
                <w:sz w:val="24"/>
              </w:rPr>
            </w:pPr>
            <w:r>
              <w:rPr>
                <w:sz w:val="24"/>
              </w:rPr>
              <w:t>Pre - requisitos:</w:t>
            </w:r>
          </w:p>
        </w:tc>
        <w:tc>
          <w:tcPr>
            <w:tcW w:w="6091" w:type="dxa"/>
            <w:tcBorders>
              <w:right w:val="single" w:sz="4" w:space="0" w:color="000000"/>
            </w:tcBorders>
          </w:tcPr>
          <w:p w:rsidR="00C95B57" w:rsidRDefault="00D44367">
            <w:pPr>
              <w:pStyle w:val="TableParagraph"/>
              <w:spacing w:line="266" w:lineRule="exact"/>
              <w:ind w:left="189"/>
              <w:rPr>
                <w:sz w:val="24"/>
              </w:rPr>
            </w:pPr>
            <w:r>
              <w:rPr>
                <w:sz w:val="24"/>
              </w:rPr>
              <w:t>Psicología Jurídica</w:t>
            </w:r>
          </w:p>
        </w:tc>
      </w:tr>
      <w:tr w:rsidR="00C95B57">
        <w:trPr>
          <w:trHeight w:val="565"/>
        </w:trPr>
        <w:tc>
          <w:tcPr>
            <w:tcW w:w="2567" w:type="dxa"/>
            <w:tcBorders>
              <w:left w:val="single" w:sz="4" w:space="0" w:color="000000"/>
              <w:bottom w:val="single" w:sz="4" w:space="0" w:color="000000"/>
            </w:tcBorders>
          </w:tcPr>
          <w:p w:rsidR="00C95B57" w:rsidRDefault="00D44367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Año</w:t>
            </w:r>
          </w:p>
        </w:tc>
        <w:tc>
          <w:tcPr>
            <w:tcW w:w="6091" w:type="dxa"/>
            <w:tcBorders>
              <w:bottom w:val="single" w:sz="4" w:space="0" w:color="000000"/>
              <w:right w:val="single" w:sz="4" w:space="0" w:color="000000"/>
            </w:tcBorders>
          </w:tcPr>
          <w:p w:rsidR="00C95B57" w:rsidRDefault="00D44367">
            <w:pPr>
              <w:pStyle w:val="TableParagraph"/>
              <w:spacing w:before="1"/>
              <w:ind w:left="189"/>
              <w:rPr>
                <w:sz w:val="24"/>
              </w:rPr>
            </w:pPr>
            <w:r>
              <w:rPr>
                <w:sz w:val="24"/>
              </w:rPr>
              <w:t>201</w:t>
            </w:r>
            <w:r w:rsidR="008746D7">
              <w:rPr>
                <w:sz w:val="24"/>
              </w:rPr>
              <w:t>9</w:t>
            </w:r>
          </w:p>
        </w:tc>
      </w:tr>
      <w:tr w:rsidR="00C95B57">
        <w:trPr>
          <w:trHeight w:val="273"/>
        </w:trPr>
        <w:tc>
          <w:tcPr>
            <w:tcW w:w="8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57" w:rsidRDefault="00D44367">
            <w:pPr>
              <w:pStyle w:val="TableParagraph"/>
              <w:spacing w:line="254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II.- Descripción / Justificación de la actividad curricular</w:t>
            </w:r>
          </w:p>
        </w:tc>
      </w:tr>
      <w:tr w:rsidR="00C95B57" w:rsidTr="0094777C">
        <w:trPr>
          <w:trHeight w:val="3160"/>
        </w:trPr>
        <w:tc>
          <w:tcPr>
            <w:tcW w:w="8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57" w:rsidRDefault="00C95B57">
            <w:pPr>
              <w:pStyle w:val="TableParagraph"/>
              <w:spacing w:before="2"/>
              <w:ind w:left="0"/>
              <w:rPr>
                <w:b/>
              </w:rPr>
            </w:pPr>
          </w:p>
          <w:p w:rsidR="000765DB" w:rsidRDefault="00D44367" w:rsidP="00C51136">
            <w:pPr>
              <w:pStyle w:val="TableParagraph"/>
              <w:ind w:left="119" w:right="106" w:firstLine="566"/>
              <w:jc w:val="both"/>
              <w:rPr>
                <w:sz w:val="24"/>
              </w:rPr>
            </w:pPr>
            <w:r>
              <w:rPr>
                <w:sz w:val="24"/>
              </w:rPr>
              <w:t>El propósito del curso es entregar</w:t>
            </w:r>
            <w:r w:rsidR="00FE00F8">
              <w:rPr>
                <w:sz w:val="24"/>
              </w:rPr>
              <w:t>,</w:t>
            </w:r>
            <w:r>
              <w:rPr>
                <w:sz w:val="24"/>
              </w:rPr>
              <w:t xml:space="preserve"> a los estudiantes, una visión </w:t>
            </w:r>
            <w:r w:rsidR="00FE00F8">
              <w:rPr>
                <w:sz w:val="24"/>
              </w:rPr>
              <w:t>sobre el abordaje de</w:t>
            </w:r>
            <w:r w:rsidR="007F01E5">
              <w:rPr>
                <w:sz w:val="24"/>
              </w:rPr>
              <w:t>l género en</w:t>
            </w:r>
            <w:r w:rsidR="00590359">
              <w:rPr>
                <w:sz w:val="24"/>
              </w:rPr>
              <w:t xml:space="preserve"> la investigación e intervención de la criminalidad</w:t>
            </w:r>
            <w:r w:rsidR="000765DB">
              <w:rPr>
                <w:sz w:val="24"/>
              </w:rPr>
              <w:t>, a la luz de los antecedentes empíricos y teóricos que dan cuenta de un</w:t>
            </w:r>
            <w:r w:rsidR="00867157">
              <w:rPr>
                <w:sz w:val="24"/>
              </w:rPr>
              <w:t xml:space="preserve">a disminución cualitativa en la brecha de género del delito. </w:t>
            </w:r>
          </w:p>
          <w:p w:rsidR="00C95B57" w:rsidRDefault="00C51136" w:rsidP="00C51136">
            <w:pPr>
              <w:pStyle w:val="TableParagraph"/>
              <w:ind w:left="119" w:right="106" w:firstLine="566"/>
              <w:jc w:val="both"/>
              <w:rPr>
                <w:sz w:val="24"/>
              </w:rPr>
            </w:pPr>
            <w:r>
              <w:rPr>
                <w:sz w:val="24"/>
              </w:rPr>
              <w:t>Se espera abordar una revisión general de</w:t>
            </w:r>
            <w:r w:rsidR="005F6CB4">
              <w:rPr>
                <w:sz w:val="24"/>
              </w:rPr>
              <w:t xml:space="preserve"> l</w:t>
            </w:r>
            <w:r w:rsidR="002E6EB1">
              <w:rPr>
                <w:sz w:val="24"/>
              </w:rPr>
              <w:t>a forma en que han sido tratados</w:t>
            </w:r>
            <w:r w:rsidR="005F6CB4">
              <w:rPr>
                <w:sz w:val="24"/>
              </w:rPr>
              <w:t xml:space="preserve"> tanto el hombre como la mujer en</w:t>
            </w:r>
            <w:r w:rsidR="00460AB0">
              <w:rPr>
                <w:sz w:val="24"/>
              </w:rPr>
              <w:t xml:space="preserve"> </w:t>
            </w:r>
            <w:r w:rsidR="000E0214">
              <w:rPr>
                <w:sz w:val="24"/>
              </w:rPr>
              <w:t>la criminología</w:t>
            </w:r>
            <w:r w:rsidR="00606920">
              <w:rPr>
                <w:sz w:val="24"/>
              </w:rPr>
              <w:t xml:space="preserve">, </w:t>
            </w:r>
            <w:r w:rsidR="001820B7">
              <w:rPr>
                <w:sz w:val="24"/>
              </w:rPr>
              <w:t>analizando</w:t>
            </w:r>
            <w:r w:rsidR="00606920">
              <w:rPr>
                <w:sz w:val="24"/>
              </w:rPr>
              <w:t xml:space="preserve"> corrientes criminológicas y psicológicas al respecto. </w:t>
            </w:r>
          </w:p>
          <w:p w:rsidR="00606920" w:rsidRDefault="00606920" w:rsidP="00C51136">
            <w:pPr>
              <w:pStyle w:val="TableParagraph"/>
              <w:ind w:left="119" w:right="106" w:firstLine="566"/>
              <w:jc w:val="both"/>
              <w:rPr>
                <w:sz w:val="24"/>
              </w:rPr>
            </w:pPr>
            <w:r>
              <w:rPr>
                <w:sz w:val="24"/>
              </w:rPr>
              <w:t>Asimismo, los contenidos s</w:t>
            </w:r>
            <w:r w:rsidR="005E59E7">
              <w:rPr>
                <w:sz w:val="24"/>
              </w:rPr>
              <w:t xml:space="preserve">e </w:t>
            </w:r>
            <w:r w:rsidR="00861C2D">
              <w:rPr>
                <w:sz w:val="24"/>
              </w:rPr>
              <w:t xml:space="preserve">centran en la identificación de factores y necesidades </w:t>
            </w:r>
            <w:r w:rsidR="003340BA">
              <w:rPr>
                <w:sz w:val="24"/>
              </w:rPr>
              <w:t>específicas</w:t>
            </w:r>
            <w:r w:rsidR="00861C2D">
              <w:rPr>
                <w:sz w:val="24"/>
              </w:rPr>
              <w:t xml:space="preserve"> que</w:t>
            </w:r>
            <w:r w:rsidR="003340BA">
              <w:rPr>
                <w:sz w:val="24"/>
              </w:rPr>
              <w:t xml:space="preserve"> se</w:t>
            </w:r>
            <w:r w:rsidR="00861C2D">
              <w:rPr>
                <w:sz w:val="24"/>
              </w:rPr>
              <w:t xml:space="preserve"> ven influenciada </w:t>
            </w:r>
            <w:r w:rsidR="002F6972">
              <w:rPr>
                <w:sz w:val="24"/>
              </w:rPr>
              <w:t>por el género, y en especial como estos factores afectan de manera diferenciada a la mujer y al hombre en el ingres</w:t>
            </w:r>
            <w:r w:rsidR="00574BF5">
              <w:rPr>
                <w:sz w:val="24"/>
              </w:rPr>
              <w:t xml:space="preserve">o, mantenimiento y </w:t>
            </w:r>
            <w:proofErr w:type="spellStart"/>
            <w:r w:rsidR="00574BF5">
              <w:rPr>
                <w:sz w:val="24"/>
              </w:rPr>
              <w:t>desestimiento</w:t>
            </w:r>
            <w:proofErr w:type="spellEnd"/>
            <w:r w:rsidR="00574BF5">
              <w:rPr>
                <w:sz w:val="24"/>
              </w:rPr>
              <w:t>.</w:t>
            </w:r>
          </w:p>
          <w:p w:rsidR="00C95B57" w:rsidRPr="0094777C" w:rsidRDefault="00606920" w:rsidP="000765DB">
            <w:pPr>
              <w:pStyle w:val="TableParagraph"/>
              <w:spacing w:before="7"/>
              <w:ind w:left="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     </w:t>
            </w:r>
            <w:r w:rsidR="0094777C">
              <w:rPr>
                <w:sz w:val="20"/>
              </w:rPr>
              <w:t xml:space="preserve">       </w:t>
            </w:r>
            <w:r w:rsidR="00515AE3">
              <w:rPr>
                <w:sz w:val="24"/>
              </w:rPr>
              <w:t>En este contexto, se revisarán las aproximaciones que la Psicología Jurídica ha tenido para la evaluación e intervención de hombres y mujeres asociados a la criminalidad, en relación a los enfoques de sensible</w:t>
            </w:r>
            <w:r w:rsidR="000765DB">
              <w:rPr>
                <w:sz w:val="24"/>
              </w:rPr>
              <w:t xml:space="preserve"> y neutral de género</w:t>
            </w:r>
            <w:r w:rsidR="00E04E89">
              <w:rPr>
                <w:sz w:val="24"/>
              </w:rPr>
              <w:t>, que se vinculan a la práctica basada en la evidencia, eje central de las políticas públicas penitenciarias en el contexto nacional.</w:t>
            </w:r>
          </w:p>
        </w:tc>
      </w:tr>
      <w:tr w:rsidR="00C95B57">
        <w:trPr>
          <w:trHeight w:val="297"/>
        </w:trPr>
        <w:tc>
          <w:tcPr>
            <w:tcW w:w="8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57" w:rsidRDefault="00D44367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III.- Objetivos de la actividad curricular</w:t>
            </w:r>
          </w:p>
        </w:tc>
      </w:tr>
      <w:tr w:rsidR="00C95B57">
        <w:trPr>
          <w:trHeight w:val="1622"/>
        </w:trPr>
        <w:tc>
          <w:tcPr>
            <w:tcW w:w="8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57" w:rsidRDefault="00D44367">
            <w:pPr>
              <w:pStyle w:val="TableParagraph"/>
              <w:spacing w:before="59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1.- General:</w:t>
            </w:r>
          </w:p>
          <w:p w:rsidR="00C95B57" w:rsidRDefault="00B0192A">
            <w:pPr>
              <w:pStyle w:val="TableParagraph"/>
              <w:spacing w:before="81" w:line="237" w:lineRule="auto"/>
              <w:ind w:left="119" w:right="112" w:firstLine="566"/>
              <w:jc w:val="both"/>
              <w:rPr>
                <w:sz w:val="24"/>
              </w:rPr>
            </w:pPr>
            <w:r>
              <w:rPr>
                <w:sz w:val="24"/>
              </w:rPr>
              <w:t>Conocer,</w:t>
            </w:r>
            <w:r w:rsidR="00D44367">
              <w:rPr>
                <w:sz w:val="24"/>
              </w:rPr>
              <w:t xml:space="preserve"> comprender y analizar</w:t>
            </w:r>
            <w:r w:rsidR="00867157">
              <w:rPr>
                <w:sz w:val="24"/>
              </w:rPr>
              <w:t xml:space="preserve"> las formas de evaluar e intervenir a mujeres y hombres vinculados a la criminalida</w:t>
            </w:r>
            <w:r w:rsidR="000345F3">
              <w:rPr>
                <w:sz w:val="24"/>
              </w:rPr>
              <w:t xml:space="preserve">d, desde un enfoque de género. </w:t>
            </w:r>
          </w:p>
        </w:tc>
      </w:tr>
    </w:tbl>
    <w:p w:rsidR="00C95B57" w:rsidRDefault="00C95B57">
      <w:pPr>
        <w:spacing w:line="237" w:lineRule="auto"/>
        <w:jc w:val="both"/>
        <w:rPr>
          <w:sz w:val="24"/>
        </w:rPr>
        <w:sectPr w:rsidR="00C95B57">
          <w:type w:val="continuous"/>
          <w:pgSz w:w="11910" w:h="16840"/>
          <w:pgMar w:top="1280" w:right="154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58"/>
      </w:tblGrid>
      <w:tr w:rsidR="00C95B57" w:rsidTr="00733532">
        <w:trPr>
          <w:trHeight w:val="3251"/>
        </w:trPr>
        <w:tc>
          <w:tcPr>
            <w:tcW w:w="8658" w:type="dxa"/>
          </w:tcPr>
          <w:p w:rsidR="00C95B57" w:rsidRDefault="00D44367">
            <w:pPr>
              <w:pStyle w:val="TableParagraph"/>
              <w:spacing w:before="54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2.- Específicos:</w:t>
            </w:r>
          </w:p>
          <w:p w:rsidR="007243E4" w:rsidRDefault="00F57E00">
            <w:pPr>
              <w:pStyle w:val="TableParagraph"/>
              <w:numPr>
                <w:ilvl w:val="0"/>
                <w:numId w:val="7"/>
              </w:numPr>
              <w:tabs>
                <w:tab w:val="left" w:pos="687"/>
              </w:tabs>
              <w:spacing w:before="79" w:line="247" w:lineRule="auto"/>
              <w:ind w:right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Conocer y comprender la situación de la criminalidad </w:t>
            </w:r>
            <w:r w:rsidR="00F03BC1">
              <w:rPr>
                <w:sz w:val="24"/>
              </w:rPr>
              <w:t xml:space="preserve">diferenciada por género </w:t>
            </w:r>
            <w:r>
              <w:rPr>
                <w:sz w:val="24"/>
              </w:rPr>
              <w:t>en Latinoamérica y el mundo.</w:t>
            </w:r>
          </w:p>
          <w:p w:rsidR="00C95B57" w:rsidRDefault="00D44367">
            <w:pPr>
              <w:pStyle w:val="TableParagraph"/>
              <w:numPr>
                <w:ilvl w:val="0"/>
                <w:numId w:val="7"/>
              </w:numPr>
              <w:tabs>
                <w:tab w:val="left" w:pos="687"/>
              </w:tabs>
              <w:spacing w:before="79" w:line="247" w:lineRule="auto"/>
              <w:ind w:right="120"/>
              <w:jc w:val="both"/>
              <w:rPr>
                <w:sz w:val="24"/>
              </w:rPr>
            </w:pPr>
            <w:r>
              <w:rPr>
                <w:sz w:val="24"/>
              </w:rPr>
              <w:t>Conocer y comprender</w:t>
            </w:r>
            <w:r w:rsidR="000345F3">
              <w:rPr>
                <w:sz w:val="24"/>
              </w:rPr>
              <w:t xml:space="preserve"> el abordaje del género en la criminología, desde los enfoques clásicos a los críticos. </w:t>
            </w:r>
          </w:p>
          <w:p w:rsidR="00C95B57" w:rsidRDefault="00D44367">
            <w:pPr>
              <w:pStyle w:val="TableParagraph"/>
              <w:numPr>
                <w:ilvl w:val="0"/>
                <w:numId w:val="7"/>
              </w:numPr>
              <w:tabs>
                <w:tab w:val="left" w:pos="687"/>
              </w:tabs>
              <w:spacing w:before="68" w:line="237" w:lineRule="auto"/>
              <w:ind w:right="119"/>
              <w:jc w:val="both"/>
              <w:rPr>
                <w:sz w:val="24"/>
              </w:rPr>
            </w:pPr>
            <w:r>
              <w:rPr>
                <w:sz w:val="24"/>
              </w:rPr>
              <w:t xml:space="preserve">Conocer </w:t>
            </w:r>
            <w:r w:rsidR="00C0429A">
              <w:rPr>
                <w:sz w:val="24"/>
              </w:rPr>
              <w:t>los factores de ingreso y mantenimiento a la criminalidad en hombres y mujeres</w:t>
            </w:r>
            <w:r w:rsidR="000B690E">
              <w:rPr>
                <w:sz w:val="24"/>
              </w:rPr>
              <w:t>.</w:t>
            </w:r>
          </w:p>
          <w:p w:rsidR="00C95B57" w:rsidRDefault="00C0429A">
            <w:pPr>
              <w:pStyle w:val="TableParagraph"/>
              <w:numPr>
                <w:ilvl w:val="0"/>
                <w:numId w:val="7"/>
              </w:numPr>
              <w:tabs>
                <w:tab w:val="left" w:pos="687"/>
              </w:tabs>
              <w:spacing w:before="92" w:line="232" w:lineRule="auto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Conocer los factores asociad</w:t>
            </w:r>
            <w:r w:rsidR="00FB7914">
              <w:rPr>
                <w:sz w:val="24"/>
              </w:rPr>
              <w:t>o</w:t>
            </w:r>
            <w:r>
              <w:rPr>
                <w:sz w:val="24"/>
              </w:rPr>
              <w:t xml:space="preserve">s al </w:t>
            </w:r>
            <w:proofErr w:type="spellStart"/>
            <w:r>
              <w:rPr>
                <w:sz w:val="24"/>
              </w:rPr>
              <w:t>desestimiento</w:t>
            </w:r>
            <w:proofErr w:type="spellEnd"/>
            <w:r>
              <w:rPr>
                <w:sz w:val="24"/>
              </w:rPr>
              <w:t xml:space="preserve"> criminal en hombres y mujeres</w:t>
            </w:r>
            <w:r w:rsidR="00D44367">
              <w:rPr>
                <w:sz w:val="24"/>
              </w:rPr>
              <w:t>.</w:t>
            </w:r>
          </w:p>
          <w:p w:rsidR="00C95B57" w:rsidRPr="00733532" w:rsidRDefault="000B690E" w:rsidP="00733532">
            <w:pPr>
              <w:pStyle w:val="TableParagraph"/>
              <w:numPr>
                <w:ilvl w:val="0"/>
                <w:numId w:val="7"/>
              </w:numPr>
              <w:tabs>
                <w:tab w:val="left" w:pos="687"/>
              </w:tabs>
              <w:spacing w:before="95" w:line="237" w:lineRule="auto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Identificar y analizar l</w:t>
            </w:r>
            <w:r w:rsidR="00CF3476">
              <w:rPr>
                <w:sz w:val="24"/>
              </w:rPr>
              <w:t xml:space="preserve">as técnicas de evaluación e intervención </w:t>
            </w:r>
            <w:r w:rsidR="007243E4">
              <w:rPr>
                <w:sz w:val="24"/>
              </w:rPr>
              <w:t xml:space="preserve">con mujeres y hombres vinculados a la criminalidad. </w:t>
            </w:r>
          </w:p>
        </w:tc>
      </w:tr>
      <w:tr w:rsidR="00C95B57" w:rsidTr="00B82D9C">
        <w:trPr>
          <w:trHeight w:val="6600"/>
        </w:trPr>
        <w:tc>
          <w:tcPr>
            <w:tcW w:w="8658" w:type="dxa"/>
          </w:tcPr>
          <w:p w:rsidR="00C95B57" w:rsidRDefault="00D44367">
            <w:pPr>
              <w:pStyle w:val="TableParagraph"/>
              <w:spacing w:after="19" w:line="27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IV.- Temáticas o contenidos de la actividad curricular</w:t>
            </w:r>
          </w:p>
          <w:p w:rsidR="00C95B57" w:rsidRDefault="00647500">
            <w:pPr>
              <w:pStyle w:val="TableParagraph"/>
              <w:spacing w:line="20" w:lineRule="exact"/>
              <w:ind w:left="105" w:right="-29"/>
              <w:rPr>
                <w:sz w:val="2"/>
              </w:rPr>
            </w:pPr>
            <w:r>
              <w:rPr>
                <w:noProof/>
                <w:sz w:val="2"/>
                <w:lang w:val="es-CL" w:eastAsia="es-CL" w:bidi="ar-SA"/>
              </w:rPr>
              <mc:AlternateContent>
                <mc:Choice Requires="wpg">
                  <w:drawing>
                    <wp:inline distT="0" distB="0" distL="0" distR="0">
                      <wp:extent cx="5391150" cy="9525"/>
                      <wp:effectExtent l="8890" t="2540" r="10160" b="698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91150" cy="9525"/>
                                <a:chOff x="0" y="0"/>
                                <a:chExt cx="8490" cy="15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84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6B9491" id="Group 2" o:spid="_x0000_s1026" style="width:424.5pt;height:.75pt;mso-position-horizontal-relative:char;mso-position-vertical-relative:line" coordsize="849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">
                      <v:line id="Line 3" o:spid="_x0000_s1027" style="position:absolute;visibility:visible;mso-wrap-style:square" from="0,7" to="849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" strokeweight=".72pt"/>
                      <w10:anchorlock/>
                    </v:group>
                  </w:pict>
                </mc:Fallback>
              </mc:AlternateContent>
            </w:r>
          </w:p>
          <w:p w:rsidR="00C95B57" w:rsidRDefault="00D44367">
            <w:pPr>
              <w:pStyle w:val="TableParagraph"/>
              <w:spacing w:before="113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Unidad I: </w:t>
            </w:r>
            <w:r w:rsidR="000C5110">
              <w:rPr>
                <w:b/>
                <w:sz w:val="28"/>
              </w:rPr>
              <w:t xml:space="preserve">Abordaje del género en la criminalidad </w:t>
            </w:r>
          </w:p>
          <w:p w:rsidR="00F03BC1" w:rsidRDefault="00F03BC1">
            <w:pPr>
              <w:pStyle w:val="TableParagraph"/>
              <w:numPr>
                <w:ilvl w:val="1"/>
                <w:numId w:val="6"/>
              </w:numPr>
              <w:tabs>
                <w:tab w:val="left" w:pos="970"/>
              </w:tabs>
              <w:spacing w:before="53"/>
            </w:pPr>
            <w:r>
              <w:t xml:space="preserve">Contexto </w:t>
            </w:r>
            <w:r w:rsidR="00DD6B99">
              <w:t xml:space="preserve">social y jurídico de la criminalidad en Latinoamérica </w:t>
            </w:r>
          </w:p>
          <w:p w:rsidR="00C95B57" w:rsidRDefault="00307EF7">
            <w:pPr>
              <w:pStyle w:val="TableParagraph"/>
              <w:numPr>
                <w:ilvl w:val="1"/>
                <w:numId w:val="6"/>
              </w:numPr>
              <w:tabs>
                <w:tab w:val="left" w:pos="970"/>
              </w:tabs>
              <w:spacing w:before="53"/>
            </w:pPr>
            <w:r>
              <w:t xml:space="preserve">Breve desarrollo de la criminología, teorías clásicas y </w:t>
            </w:r>
            <w:r w:rsidR="00F03BC1">
              <w:t>críticas</w:t>
            </w:r>
            <w:r w:rsidR="00D44367">
              <w:t>.</w:t>
            </w:r>
          </w:p>
          <w:p w:rsidR="00C95B57" w:rsidRDefault="00307EF7" w:rsidP="00DD6B99">
            <w:pPr>
              <w:pStyle w:val="TableParagraph"/>
              <w:numPr>
                <w:ilvl w:val="1"/>
                <w:numId w:val="6"/>
              </w:numPr>
              <w:tabs>
                <w:tab w:val="left" w:pos="970"/>
              </w:tabs>
              <w:spacing w:before="47"/>
            </w:pPr>
            <w:r>
              <w:t xml:space="preserve"> Mujer y criminología: Preguntas y respuestas</w:t>
            </w:r>
          </w:p>
          <w:p w:rsidR="00C95B57" w:rsidRPr="00240FEF" w:rsidRDefault="002D6C14" w:rsidP="00240FEF">
            <w:pPr>
              <w:pStyle w:val="TableParagraph"/>
              <w:numPr>
                <w:ilvl w:val="1"/>
                <w:numId w:val="6"/>
              </w:numPr>
              <w:tabs>
                <w:tab w:val="left" w:pos="970"/>
              </w:tabs>
              <w:spacing w:before="47"/>
            </w:pPr>
            <w:r>
              <w:t>Enfoques de evaluación</w:t>
            </w:r>
            <w:r w:rsidR="00F14F9F">
              <w:t xml:space="preserve"> e intervención</w:t>
            </w:r>
            <w:r>
              <w:t>: género neutral vs/ género sensible</w:t>
            </w:r>
          </w:p>
          <w:p w:rsidR="00C95B57" w:rsidRDefault="00D44367">
            <w:pPr>
              <w:pStyle w:val="TableParagraph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Unidad II: </w:t>
            </w:r>
            <w:r w:rsidR="003432BE">
              <w:rPr>
                <w:b/>
                <w:sz w:val="28"/>
              </w:rPr>
              <w:t xml:space="preserve">Rutas de ingreso y </w:t>
            </w:r>
            <w:proofErr w:type="spellStart"/>
            <w:r w:rsidR="003432BE">
              <w:rPr>
                <w:b/>
                <w:sz w:val="28"/>
              </w:rPr>
              <w:t>desestimiento</w:t>
            </w:r>
            <w:proofErr w:type="spellEnd"/>
            <w:r w:rsidR="003432BE">
              <w:rPr>
                <w:b/>
                <w:sz w:val="28"/>
              </w:rPr>
              <w:t xml:space="preserve"> a la criminalidad</w:t>
            </w:r>
          </w:p>
          <w:p w:rsidR="00C95B57" w:rsidRDefault="00C95B57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C95B57" w:rsidRDefault="000076FB">
            <w:pPr>
              <w:pStyle w:val="TableParagraph"/>
              <w:numPr>
                <w:ilvl w:val="0"/>
                <w:numId w:val="5"/>
              </w:numPr>
              <w:tabs>
                <w:tab w:val="left" w:pos="686"/>
                <w:tab w:val="left" w:pos="687"/>
              </w:tabs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Factores de ingreso y mantenimiento a la criminalidad diferenciadas por género</w:t>
            </w:r>
          </w:p>
          <w:p w:rsidR="00C95B57" w:rsidRPr="00941FEB" w:rsidRDefault="000076FB" w:rsidP="000076FB">
            <w:pPr>
              <w:pStyle w:val="TableParagraph"/>
              <w:numPr>
                <w:ilvl w:val="1"/>
                <w:numId w:val="5"/>
              </w:numPr>
              <w:tabs>
                <w:tab w:val="left" w:pos="970"/>
              </w:tabs>
              <w:spacing w:line="286" w:lineRule="exact"/>
            </w:pPr>
            <w:r>
              <w:rPr>
                <w:spacing w:val="-1"/>
              </w:rPr>
              <w:t>Factores Sociales</w:t>
            </w:r>
            <w:r w:rsidR="00941FEB">
              <w:rPr>
                <w:spacing w:val="-1"/>
              </w:rPr>
              <w:t xml:space="preserve"> y Psicológicos: Estáticos y Dinámicos</w:t>
            </w:r>
          </w:p>
          <w:p w:rsidR="00C95B57" w:rsidRDefault="00941FEB" w:rsidP="004E0DCE">
            <w:pPr>
              <w:pStyle w:val="TableParagraph"/>
              <w:numPr>
                <w:ilvl w:val="1"/>
                <w:numId w:val="5"/>
              </w:numPr>
              <w:tabs>
                <w:tab w:val="left" w:pos="970"/>
              </w:tabs>
              <w:spacing w:line="286" w:lineRule="exact"/>
            </w:pPr>
            <w:r>
              <w:t>Necesidades criminógenas especificas</w:t>
            </w:r>
            <w:r w:rsidR="003F4482">
              <w:t xml:space="preserve"> en hombres y mujeres</w:t>
            </w:r>
          </w:p>
          <w:p w:rsidR="004E0DCE" w:rsidRDefault="009D1410" w:rsidP="004E0DCE">
            <w:pPr>
              <w:pStyle w:val="TableParagraph"/>
              <w:numPr>
                <w:ilvl w:val="1"/>
                <w:numId w:val="5"/>
              </w:numPr>
              <w:tabs>
                <w:tab w:val="left" w:pos="970"/>
              </w:tabs>
              <w:spacing w:line="286" w:lineRule="exact"/>
            </w:pPr>
            <w:r>
              <w:t>Concepto de rutas de género a la criminalidad</w:t>
            </w:r>
          </w:p>
          <w:p w:rsidR="009D1410" w:rsidRPr="004E0DCE" w:rsidRDefault="009D1410" w:rsidP="009D1410">
            <w:pPr>
              <w:pStyle w:val="TableParagraph"/>
              <w:tabs>
                <w:tab w:val="left" w:pos="970"/>
              </w:tabs>
              <w:spacing w:line="286" w:lineRule="exact"/>
            </w:pPr>
          </w:p>
          <w:p w:rsidR="000076FB" w:rsidRDefault="000076FB" w:rsidP="000076FB">
            <w:pPr>
              <w:pStyle w:val="TableParagraph"/>
              <w:numPr>
                <w:ilvl w:val="0"/>
                <w:numId w:val="5"/>
              </w:numPr>
              <w:tabs>
                <w:tab w:val="left" w:pos="686"/>
                <w:tab w:val="left" w:pos="687"/>
              </w:tabs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Factores de </w:t>
            </w:r>
            <w:proofErr w:type="spellStart"/>
            <w:r>
              <w:rPr>
                <w:b/>
                <w:sz w:val="24"/>
              </w:rPr>
              <w:t>desestimiento</w:t>
            </w:r>
            <w:proofErr w:type="spellEnd"/>
            <w:r>
              <w:rPr>
                <w:b/>
                <w:sz w:val="24"/>
              </w:rPr>
              <w:t xml:space="preserve"> a la criminalidad diferenciadas por género</w:t>
            </w:r>
          </w:p>
          <w:p w:rsidR="00941FEB" w:rsidRDefault="00941FEB" w:rsidP="002E460E">
            <w:pPr>
              <w:pStyle w:val="TableParagraph"/>
              <w:numPr>
                <w:ilvl w:val="1"/>
                <w:numId w:val="5"/>
              </w:numPr>
              <w:tabs>
                <w:tab w:val="left" w:pos="970"/>
              </w:tabs>
              <w:spacing w:line="286" w:lineRule="exact"/>
            </w:pPr>
            <w:r>
              <w:t xml:space="preserve">Concepto de </w:t>
            </w:r>
            <w:proofErr w:type="spellStart"/>
            <w:r>
              <w:t>Desestimiento</w:t>
            </w:r>
            <w:proofErr w:type="spellEnd"/>
          </w:p>
          <w:p w:rsidR="00C95B57" w:rsidRDefault="002E460E" w:rsidP="0031520E">
            <w:pPr>
              <w:pStyle w:val="TableParagraph"/>
              <w:numPr>
                <w:ilvl w:val="1"/>
                <w:numId w:val="5"/>
              </w:numPr>
              <w:tabs>
                <w:tab w:val="left" w:pos="970"/>
              </w:tabs>
              <w:spacing w:line="293" w:lineRule="exact"/>
            </w:pPr>
            <w:r>
              <w:t xml:space="preserve">Factores sociales y psicológicos </w:t>
            </w:r>
            <w:r w:rsidR="0022579C">
              <w:t xml:space="preserve">en hombres </w:t>
            </w:r>
          </w:p>
          <w:p w:rsidR="00733532" w:rsidRDefault="0022579C" w:rsidP="003617B4">
            <w:pPr>
              <w:pStyle w:val="TableParagraph"/>
              <w:numPr>
                <w:ilvl w:val="1"/>
                <w:numId w:val="5"/>
              </w:numPr>
              <w:tabs>
                <w:tab w:val="left" w:pos="970"/>
              </w:tabs>
              <w:spacing w:line="293" w:lineRule="exact"/>
            </w:pPr>
            <w:r>
              <w:t>Factores sociales y psicológicos en mujeres</w:t>
            </w:r>
          </w:p>
          <w:p w:rsidR="00733532" w:rsidRDefault="00733532" w:rsidP="002D6C14">
            <w:pPr>
              <w:pStyle w:val="TableParagraph"/>
              <w:tabs>
                <w:tab w:val="left" w:pos="970"/>
              </w:tabs>
              <w:spacing w:line="293" w:lineRule="exact"/>
              <w:ind w:left="360"/>
              <w:rPr>
                <w:b/>
              </w:rPr>
            </w:pPr>
            <w:r w:rsidRPr="00733532">
              <w:rPr>
                <w:b/>
              </w:rPr>
              <w:t xml:space="preserve">3. </w:t>
            </w:r>
            <w:r>
              <w:rPr>
                <w:b/>
              </w:rPr>
              <w:t xml:space="preserve">  Análisis de caso</w:t>
            </w:r>
          </w:p>
          <w:p w:rsidR="00240FEF" w:rsidRDefault="00240FEF" w:rsidP="00240FEF">
            <w:pPr>
              <w:pStyle w:val="TableParagraph"/>
              <w:numPr>
                <w:ilvl w:val="0"/>
                <w:numId w:val="12"/>
              </w:numPr>
              <w:tabs>
                <w:tab w:val="left" w:pos="970"/>
              </w:tabs>
              <w:spacing w:line="293" w:lineRule="exact"/>
              <w:rPr>
                <w:b/>
              </w:rPr>
            </w:pPr>
            <w:r>
              <w:t>Casos relevantes: hombres y mujeres</w:t>
            </w:r>
          </w:p>
          <w:p w:rsidR="0031520E" w:rsidRPr="003617B4" w:rsidRDefault="00240FEF" w:rsidP="003617B4">
            <w:pPr>
              <w:pStyle w:val="TableParagraph"/>
              <w:numPr>
                <w:ilvl w:val="0"/>
                <w:numId w:val="12"/>
              </w:numPr>
              <w:tabs>
                <w:tab w:val="left" w:pos="970"/>
              </w:tabs>
              <w:spacing w:line="293" w:lineRule="exact"/>
              <w:rPr>
                <w:b/>
              </w:rPr>
            </w:pPr>
            <w:r>
              <w:t xml:space="preserve">Modelo de Riesgo v/s Enfoques </w:t>
            </w:r>
            <w:proofErr w:type="spellStart"/>
            <w:r>
              <w:t>desestimiento</w:t>
            </w:r>
            <w:proofErr w:type="spellEnd"/>
          </w:p>
          <w:p w:rsidR="0031520E" w:rsidRPr="00522C52" w:rsidRDefault="0031520E" w:rsidP="0031520E">
            <w:pPr>
              <w:pStyle w:val="TableParagraph"/>
              <w:tabs>
                <w:tab w:val="left" w:pos="970"/>
              </w:tabs>
              <w:spacing w:line="293" w:lineRule="exact"/>
              <w:ind w:left="0"/>
              <w:rPr>
                <w:b/>
              </w:rPr>
            </w:pPr>
            <w:r>
              <w:t xml:space="preserve">  </w:t>
            </w:r>
            <w:r w:rsidRPr="00522C52">
              <w:rPr>
                <w:b/>
                <w:sz w:val="28"/>
              </w:rPr>
              <w:t>Unidad III. Evaluación e intervención con perspectiva de género</w:t>
            </w:r>
          </w:p>
          <w:p w:rsidR="0031520E" w:rsidRDefault="0031520E" w:rsidP="0031520E">
            <w:pPr>
              <w:pStyle w:val="TableParagraph"/>
              <w:numPr>
                <w:ilvl w:val="0"/>
                <w:numId w:val="8"/>
              </w:numPr>
              <w:tabs>
                <w:tab w:val="left" w:pos="970"/>
              </w:tabs>
              <w:spacing w:line="293" w:lineRule="exact"/>
            </w:pPr>
            <w:r>
              <w:t>Enfoque género neutral: Técnicas de evaluación y gestión de la intervención</w:t>
            </w:r>
          </w:p>
          <w:p w:rsidR="00B82D9C" w:rsidRDefault="0031520E" w:rsidP="00B82D9C">
            <w:pPr>
              <w:pStyle w:val="TableParagraph"/>
              <w:numPr>
                <w:ilvl w:val="0"/>
                <w:numId w:val="8"/>
              </w:numPr>
              <w:tabs>
                <w:tab w:val="left" w:pos="970"/>
              </w:tabs>
              <w:spacing w:line="293" w:lineRule="exact"/>
            </w:pPr>
            <w:r>
              <w:t>Enfoque género sensible: Técnicas de evaluación y gestión de la intervención</w:t>
            </w:r>
          </w:p>
          <w:p w:rsidR="00B82D9C" w:rsidRDefault="00B82D9C" w:rsidP="008703ED">
            <w:pPr>
              <w:pStyle w:val="TableParagraph"/>
              <w:tabs>
                <w:tab w:val="left" w:pos="970"/>
              </w:tabs>
              <w:spacing w:line="293" w:lineRule="exact"/>
              <w:ind w:left="1080"/>
            </w:pPr>
          </w:p>
        </w:tc>
      </w:tr>
    </w:tbl>
    <w:p w:rsidR="00C95B57" w:rsidRDefault="00C95B57">
      <w:pPr>
        <w:spacing w:line="293" w:lineRule="exact"/>
        <w:sectPr w:rsidR="00C95B57">
          <w:pgSz w:w="11910" w:h="16840"/>
          <w:pgMar w:top="1360" w:right="154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58"/>
      </w:tblGrid>
      <w:tr w:rsidR="00C95B57" w:rsidTr="00733532">
        <w:trPr>
          <w:trHeight w:val="132"/>
        </w:trPr>
        <w:tc>
          <w:tcPr>
            <w:tcW w:w="8658" w:type="dxa"/>
          </w:tcPr>
          <w:p w:rsidR="003F4482" w:rsidRPr="003F4482" w:rsidRDefault="003F4482" w:rsidP="003F4482">
            <w:pPr>
              <w:pStyle w:val="TableParagraph"/>
              <w:tabs>
                <w:tab w:val="left" w:pos="970"/>
              </w:tabs>
              <w:spacing w:line="294" w:lineRule="exact"/>
              <w:ind w:left="0"/>
              <w:rPr>
                <w:b/>
              </w:rPr>
            </w:pPr>
          </w:p>
        </w:tc>
      </w:tr>
      <w:tr w:rsidR="00C95B57">
        <w:trPr>
          <w:trHeight w:val="273"/>
        </w:trPr>
        <w:tc>
          <w:tcPr>
            <w:tcW w:w="8658" w:type="dxa"/>
          </w:tcPr>
          <w:p w:rsidR="00C95B57" w:rsidRDefault="00D44367">
            <w:pPr>
              <w:pStyle w:val="TableParagraph"/>
              <w:spacing w:line="25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V.- Metodología de la actividad curricular</w:t>
            </w:r>
          </w:p>
        </w:tc>
      </w:tr>
      <w:tr w:rsidR="00C95B57" w:rsidTr="00237D59">
        <w:trPr>
          <w:trHeight w:val="1809"/>
        </w:trPr>
        <w:tc>
          <w:tcPr>
            <w:tcW w:w="8658" w:type="dxa"/>
          </w:tcPr>
          <w:p w:rsidR="00C95B57" w:rsidRDefault="00C95B57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C95B57" w:rsidRDefault="00D44367" w:rsidP="00237D59">
            <w:pPr>
              <w:pStyle w:val="TableParagraph"/>
              <w:ind w:left="119" w:right="82" w:firstLine="5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Dada </w:t>
            </w:r>
            <w:r>
              <w:rPr>
                <w:spacing w:val="-7"/>
                <w:sz w:val="24"/>
              </w:rPr>
              <w:t xml:space="preserve">la </w:t>
            </w:r>
            <w:r>
              <w:rPr>
                <w:sz w:val="24"/>
              </w:rPr>
              <w:t xml:space="preserve">especificidad de </w:t>
            </w:r>
            <w:r>
              <w:rPr>
                <w:spacing w:val="-4"/>
                <w:sz w:val="24"/>
              </w:rPr>
              <w:t xml:space="preserve">los </w:t>
            </w:r>
            <w:r>
              <w:rPr>
                <w:sz w:val="24"/>
              </w:rPr>
              <w:t>contenidos tratados, el curso favorecerá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la </w:t>
            </w:r>
            <w:r>
              <w:rPr>
                <w:sz w:val="24"/>
              </w:rPr>
              <w:t>realización de sesiones expositivas</w:t>
            </w:r>
            <w:r w:rsidR="005D7B84">
              <w:rPr>
                <w:sz w:val="24"/>
              </w:rPr>
              <w:t>, y de al menos dos sesiones por unidad</w:t>
            </w:r>
            <w:r>
              <w:rPr>
                <w:sz w:val="24"/>
              </w:rPr>
              <w:t xml:space="preserve"> de taller con discusión </w:t>
            </w:r>
            <w:r w:rsidR="00F125E2">
              <w:rPr>
                <w:sz w:val="24"/>
              </w:rPr>
              <w:t xml:space="preserve">y análisis de casos </w:t>
            </w:r>
            <w:r>
              <w:rPr>
                <w:sz w:val="24"/>
              </w:rPr>
              <w:t xml:space="preserve">grupal, en donde se integren </w:t>
            </w:r>
            <w:r>
              <w:rPr>
                <w:spacing w:val="-4"/>
                <w:sz w:val="24"/>
              </w:rPr>
              <w:t xml:space="preserve">los </w:t>
            </w:r>
            <w:r>
              <w:rPr>
                <w:sz w:val="24"/>
              </w:rPr>
              <w:t xml:space="preserve">elementos teóricos formulados con aspectos prácticos, fundamentalmente a través </w:t>
            </w:r>
            <w:r>
              <w:rPr>
                <w:spacing w:val="2"/>
                <w:sz w:val="24"/>
              </w:rPr>
              <w:t xml:space="preserve">del </w:t>
            </w:r>
            <w:r>
              <w:rPr>
                <w:sz w:val="24"/>
              </w:rPr>
              <w:t xml:space="preserve">análisis de casos </w:t>
            </w:r>
            <w:r w:rsidR="00F125E2">
              <w:rPr>
                <w:sz w:val="24"/>
              </w:rPr>
              <w:t>reales</w:t>
            </w:r>
            <w:r>
              <w:rPr>
                <w:sz w:val="24"/>
              </w:rPr>
              <w:t>, análisis de experiencias de intervención</w:t>
            </w:r>
            <w:r w:rsidR="00F125E2">
              <w:rPr>
                <w:sz w:val="24"/>
              </w:rPr>
              <w:t xml:space="preserve"> y evaluación. </w:t>
            </w:r>
          </w:p>
        </w:tc>
      </w:tr>
      <w:tr w:rsidR="00C95B57">
        <w:trPr>
          <w:trHeight w:val="316"/>
        </w:trPr>
        <w:tc>
          <w:tcPr>
            <w:tcW w:w="8658" w:type="dxa"/>
          </w:tcPr>
          <w:p w:rsidR="00C95B57" w:rsidRDefault="00D44367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VI.- Evaluación de la actividad curricular</w:t>
            </w:r>
          </w:p>
        </w:tc>
      </w:tr>
      <w:tr w:rsidR="003617B4">
        <w:trPr>
          <w:trHeight w:val="316"/>
        </w:trPr>
        <w:tc>
          <w:tcPr>
            <w:tcW w:w="8658" w:type="dxa"/>
          </w:tcPr>
          <w:p w:rsidR="003617B4" w:rsidRPr="003617B4" w:rsidRDefault="003617B4" w:rsidP="003617B4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 w:rsidRPr="003617B4">
              <w:rPr>
                <w:sz w:val="24"/>
              </w:rPr>
              <w:t>La evaluación considera:</w:t>
            </w:r>
          </w:p>
          <w:p w:rsidR="003617B4" w:rsidRPr="003617B4" w:rsidRDefault="003617B4" w:rsidP="003617B4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 w:rsidRPr="003617B4">
              <w:rPr>
                <w:sz w:val="24"/>
              </w:rPr>
              <w:t>a)</w:t>
            </w:r>
            <w:r w:rsidRPr="003617B4">
              <w:rPr>
                <w:sz w:val="24"/>
              </w:rPr>
              <w:tab/>
              <w:t>Dos pruebas parciales, cada una equivalente a un 30% de la nota final.</w:t>
            </w:r>
          </w:p>
          <w:p w:rsidR="003617B4" w:rsidRPr="003617B4" w:rsidRDefault="003617B4" w:rsidP="003617B4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 w:rsidRPr="003617B4">
              <w:rPr>
                <w:sz w:val="24"/>
              </w:rPr>
              <w:t>b)</w:t>
            </w:r>
            <w:r w:rsidRPr="003617B4">
              <w:rPr>
                <w:sz w:val="24"/>
              </w:rPr>
              <w:tab/>
              <w:t>Un análisis de caso</w:t>
            </w:r>
            <w:r w:rsidR="00D82477">
              <w:rPr>
                <w:sz w:val="24"/>
              </w:rPr>
              <w:t>/Ensayo</w:t>
            </w:r>
            <w:bookmarkStart w:id="0" w:name="_GoBack"/>
            <w:bookmarkEnd w:id="0"/>
            <w:r w:rsidRPr="003617B4">
              <w:rPr>
                <w:sz w:val="24"/>
              </w:rPr>
              <w:t>, equivalente a un 40% de la nota final.</w:t>
            </w:r>
          </w:p>
          <w:p w:rsidR="003617B4" w:rsidRPr="003617B4" w:rsidRDefault="003617B4" w:rsidP="003617B4">
            <w:pPr>
              <w:pStyle w:val="TableParagraph"/>
              <w:spacing w:line="273" w:lineRule="exact"/>
              <w:ind w:left="119"/>
              <w:rPr>
                <w:sz w:val="24"/>
              </w:rPr>
            </w:pPr>
          </w:p>
          <w:p w:rsidR="003617B4" w:rsidRDefault="003617B4" w:rsidP="003617B4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 w:rsidRPr="003617B4">
              <w:rPr>
                <w:sz w:val="24"/>
              </w:rPr>
              <w:t>El examen puede ser oral o escrito. Se eximirá a quienes obtengan promedio 5.5 o superior, según el reglamento del Departamento.</w:t>
            </w:r>
          </w:p>
        </w:tc>
      </w:tr>
    </w:tbl>
    <w:p w:rsidR="00C95B57" w:rsidRDefault="00C95B57">
      <w:pPr>
        <w:spacing w:line="242" w:lineRule="auto"/>
        <w:rPr>
          <w:sz w:val="24"/>
        </w:rPr>
        <w:sectPr w:rsidR="00C95B57">
          <w:pgSz w:w="11910" w:h="16840"/>
          <w:pgMar w:top="1360" w:right="154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58"/>
      </w:tblGrid>
      <w:tr w:rsidR="00C95B57">
        <w:trPr>
          <w:trHeight w:val="268"/>
        </w:trPr>
        <w:tc>
          <w:tcPr>
            <w:tcW w:w="8658" w:type="dxa"/>
          </w:tcPr>
          <w:p w:rsidR="00C95B57" w:rsidRDefault="00D44367">
            <w:pPr>
              <w:pStyle w:val="TableParagraph"/>
              <w:spacing w:line="24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VII.- Bibliografía básica y obligatoria de la actividad curricular</w:t>
            </w:r>
          </w:p>
        </w:tc>
      </w:tr>
      <w:tr w:rsidR="00C95B57" w:rsidRPr="008F1E04">
        <w:trPr>
          <w:trHeight w:val="4037"/>
        </w:trPr>
        <w:tc>
          <w:tcPr>
            <w:tcW w:w="8658" w:type="dxa"/>
          </w:tcPr>
          <w:p w:rsidR="00C95B57" w:rsidRDefault="00C95B57" w:rsidP="009A6C12">
            <w:pPr>
              <w:pStyle w:val="TableParagraph"/>
              <w:spacing w:before="4"/>
              <w:ind w:left="720" w:hanging="720"/>
              <w:rPr>
                <w:b/>
              </w:rPr>
            </w:pPr>
          </w:p>
          <w:p w:rsidR="008F1E04" w:rsidRPr="008F1E04" w:rsidRDefault="008F1E04" w:rsidP="009A6C12">
            <w:pPr>
              <w:ind w:left="720" w:hanging="720"/>
              <w:jc w:val="both"/>
              <w:rPr>
                <w:szCs w:val="14"/>
                <w:lang w:val="en-US"/>
              </w:rPr>
            </w:pPr>
            <w:r w:rsidRPr="008F1E04">
              <w:rPr>
                <w:szCs w:val="14"/>
                <w:lang w:val="en-US"/>
              </w:rPr>
              <w:t xml:space="preserve">Brennan, T., </w:t>
            </w:r>
            <w:proofErr w:type="spellStart"/>
            <w:r w:rsidRPr="008F1E04">
              <w:rPr>
                <w:szCs w:val="14"/>
                <w:lang w:val="en-US"/>
              </w:rPr>
              <w:t>Breitenbach</w:t>
            </w:r>
            <w:proofErr w:type="spellEnd"/>
            <w:r w:rsidRPr="008F1E04">
              <w:rPr>
                <w:szCs w:val="14"/>
                <w:lang w:val="en-US"/>
              </w:rPr>
              <w:t xml:space="preserve">, M., Dieterich, W., Salisbury, E., y Van </w:t>
            </w:r>
            <w:proofErr w:type="spellStart"/>
            <w:r w:rsidRPr="008F1E04">
              <w:rPr>
                <w:szCs w:val="14"/>
                <w:lang w:val="en-US"/>
              </w:rPr>
              <w:t>Voorhis</w:t>
            </w:r>
            <w:proofErr w:type="spellEnd"/>
            <w:r w:rsidRPr="008F1E04">
              <w:rPr>
                <w:szCs w:val="14"/>
                <w:lang w:val="en-US"/>
              </w:rPr>
              <w:t xml:space="preserve">, P. (2012). Women’s Pathways to serious and habitual </w:t>
            </w:r>
            <w:proofErr w:type="spellStart"/>
            <w:r w:rsidRPr="008F1E04">
              <w:rPr>
                <w:szCs w:val="14"/>
                <w:lang w:val="en-US"/>
              </w:rPr>
              <w:t>crimen</w:t>
            </w:r>
            <w:proofErr w:type="spellEnd"/>
            <w:r w:rsidRPr="008F1E04">
              <w:rPr>
                <w:szCs w:val="14"/>
                <w:lang w:val="en-US"/>
              </w:rPr>
              <w:t xml:space="preserve">. A person-centered analysis incorporating gender responsive factors. </w:t>
            </w:r>
            <w:r w:rsidRPr="008F1E04">
              <w:rPr>
                <w:i/>
                <w:szCs w:val="14"/>
                <w:lang w:val="en-US"/>
              </w:rPr>
              <w:t xml:space="preserve">Criminal </w:t>
            </w:r>
            <w:proofErr w:type="spellStart"/>
            <w:r w:rsidRPr="008F1E04">
              <w:rPr>
                <w:i/>
                <w:szCs w:val="14"/>
                <w:lang w:val="en-US"/>
              </w:rPr>
              <w:t>Justica</w:t>
            </w:r>
            <w:proofErr w:type="spellEnd"/>
            <w:r w:rsidRPr="008F1E04">
              <w:rPr>
                <w:i/>
                <w:szCs w:val="14"/>
                <w:lang w:val="en-US"/>
              </w:rPr>
              <w:t xml:space="preserve"> and Behavior, 29 </w:t>
            </w:r>
            <w:r w:rsidRPr="008F1E04">
              <w:rPr>
                <w:szCs w:val="14"/>
                <w:lang w:val="en-US"/>
              </w:rPr>
              <w:t xml:space="preserve">(11), 1481-1508. </w:t>
            </w:r>
            <w:proofErr w:type="spellStart"/>
            <w:r w:rsidRPr="008F1E04">
              <w:rPr>
                <w:szCs w:val="14"/>
                <w:lang w:val="en-US"/>
              </w:rPr>
              <w:t>doi</w:t>
            </w:r>
            <w:proofErr w:type="spellEnd"/>
            <w:r w:rsidRPr="008F1E04">
              <w:rPr>
                <w:szCs w:val="14"/>
                <w:lang w:val="en-US"/>
              </w:rPr>
              <w:t>: 10.1177/0093854812456777</w:t>
            </w:r>
          </w:p>
          <w:p w:rsidR="008F1E04" w:rsidRPr="008F1E04" w:rsidRDefault="008F1E04" w:rsidP="009A6C12">
            <w:pPr>
              <w:ind w:left="720" w:hanging="720"/>
              <w:jc w:val="both"/>
              <w:rPr>
                <w:szCs w:val="14"/>
                <w:lang w:val="en-US"/>
              </w:rPr>
            </w:pPr>
          </w:p>
          <w:p w:rsidR="008F1E04" w:rsidRPr="008F1E04" w:rsidRDefault="008F1E04" w:rsidP="009A6C12">
            <w:pPr>
              <w:ind w:left="720" w:hanging="720"/>
              <w:jc w:val="both"/>
              <w:rPr>
                <w:szCs w:val="14"/>
              </w:rPr>
            </w:pPr>
            <w:r w:rsidRPr="008F1E04">
              <w:rPr>
                <w:szCs w:val="14"/>
                <w:lang w:val="en-US"/>
              </w:rPr>
              <w:t xml:space="preserve">Daly, K. (2008) Feminist Perspectives in Criminology: A Review with Gen Y in Mind. </w:t>
            </w:r>
            <w:proofErr w:type="spellStart"/>
            <w:r w:rsidRPr="008F1E04">
              <w:rPr>
                <w:szCs w:val="14"/>
                <w:lang w:val="en-US"/>
              </w:rPr>
              <w:t>En</w:t>
            </w:r>
            <w:proofErr w:type="spellEnd"/>
            <w:r w:rsidRPr="008F1E04">
              <w:rPr>
                <w:szCs w:val="14"/>
                <w:lang w:val="en-US"/>
              </w:rPr>
              <w:t xml:space="preserve"> E. McLaughlin and T. Newburn (Eds.) </w:t>
            </w:r>
            <w:r w:rsidRPr="008F1E04">
              <w:rPr>
                <w:i/>
                <w:szCs w:val="14"/>
                <w:lang w:val="en-US"/>
              </w:rPr>
              <w:t>The SAGE Handbook of Criminological Theory.</w:t>
            </w:r>
            <w:r w:rsidRPr="008F1E04">
              <w:rPr>
                <w:szCs w:val="14"/>
                <w:lang w:val="en-US"/>
              </w:rPr>
              <w:t xml:space="preserve"> </w:t>
            </w:r>
            <w:r w:rsidRPr="008F1E04">
              <w:rPr>
                <w:szCs w:val="14"/>
              </w:rPr>
              <w:t>London: Sage.</w:t>
            </w:r>
          </w:p>
          <w:p w:rsidR="008F1E04" w:rsidRPr="008F1E04" w:rsidRDefault="008F1E04" w:rsidP="009A6C12">
            <w:pPr>
              <w:ind w:left="720" w:hanging="720"/>
              <w:jc w:val="both"/>
              <w:rPr>
                <w:szCs w:val="14"/>
              </w:rPr>
            </w:pPr>
          </w:p>
          <w:p w:rsidR="008F1E04" w:rsidRPr="008F1E04" w:rsidRDefault="008F1E04" w:rsidP="009A6C12">
            <w:pPr>
              <w:ind w:left="720" w:hanging="720"/>
              <w:jc w:val="both"/>
              <w:rPr>
                <w:szCs w:val="14"/>
              </w:rPr>
            </w:pPr>
            <w:r w:rsidRPr="008F1E04">
              <w:rPr>
                <w:szCs w:val="14"/>
              </w:rPr>
              <w:t xml:space="preserve">Larrauri, E. (1992). </w:t>
            </w:r>
            <w:r w:rsidRPr="008F1E04">
              <w:rPr>
                <w:i/>
                <w:szCs w:val="14"/>
              </w:rPr>
              <w:t>La Herencia de la Criminología Crítica.</w:t>
            </w:r>
            <w:r w:rsidRPr="008F1E04">
              <w:rPr>
                <w:szCs w:val="14"/>
              </w:rPr>
              <w:t xml:space="preserve"> México D.F: Siglo Veintiuno de España Editores.</w:t>
            </w:r>
          </w:p>
          <w:p w:rsidR="008F1E04" w:rsidRPr="008F1E04" w:rsidRDefault="008F1E04" w:rsidP="009A6C12">
            <w:pPr>
              <w:ind w:left="720" w:hanging="720"/>
              <w:jc w:val="both"/>
              <w:rPr>
                <w:szCs w:val="14"/>
              </w:rPr>
            </w:pPr>
          </w:p>
          <w:p w:rsidR="008F1E04" w:rsidRPr="008F1E04" w:rsidRDefault="008F1E04" w:rsidP="009A6C12">
            <w:pPr>
              <w:ind w:left="720" w:hanging="720"/>
              <w:jc w:val="both"/>
              <w:rPr>
                <w:szCs w:val="14"/>
              </w:rPr>
            </w:pPr>
            <w:proofErr w:type="spellStart"/>
            <w:r w:rsidRPr="008F1E04">
              <w:rPr>
                <w:szCs w:val="14"/>
                <w:lang w:val="en-US"/>
              </w:rPr>
              <w:t>Wattanaporn</w:t>
            </w:r>
            <w:proofErr w:type="spellEnd"/>
            <w:r w:rsidRPr="008F1E04">
              <w:rPr>
                <w:szCs w:val="14"/>
                <w:lang w:val="en-US"/>
              </w:rPr>
              <w:t xml:space="preserve">, K., y </w:t>
            </w:r>
            <w:proofErr w:type="spellStart"/>
            <w:r w:rsidRPr="008F1E04">
              <w:rPr>
                <w:szCs w:val="14"/>
                <w:lang w:val="en-US"/>
              </w:rPr>
              <w:t>Holtfreter</w:t>
            </w:r>
            <w:proofErr w:type="spellEnd"/>
            <w:r w:rsidRPr="008F1E04">
              <w:rPr>
                <w:szCs w:val="14"/>
                <w:lang w:val="en-US"/>
              </w:rPr>
              <w:t xml:space="preserve">, K. (2014). The impact of feminist pathways research on gender-responsive policy and practice. </w:t>
            </w:r>
            <w:proofErr w:type="spellStart"/>
            <w:r w:rsidRPr="008F1E04">
              <w:rPr>
                <w:i/>
                <w:szCs w:val="14"/>
              </w:rPr>
              <w:t>Feminist</w:t>
            </w:r>
            <w:proofErr w:type="spellEnd"/>
            <w:r w:rsidRPr="008F1E04">
              <w:rPr>
                <w:i/>
                <w:szCs w:val="14"/>
              </w:rPr>
              <w:t xml:space="preserve"> </w:t>
            </w:r>
            <w:proofErr w:type="spellStart"/>
            <w:r w:rsidRPr="008F1E04">
              <w:rPr>
                <w:i/>
                <w:szCs w:val="14"/>
              </w:rPr>
              <w:t>Criminology</w:t>
            </w:r>
            <w:proofErr w:type="spellEnd"/>
            <w:r w:rsidRPr="008F1E04">
              <w:rPr>
                <w:i/>
                <w:szCs w:val="14"/>
              </w:rPr>
              <w:t>, 9</w:t>
            </w:r>
            <w:r w:rsidRPr="008F1E04">
              <w:rPr>
                <w:szCs w:val="14"/>
              </w:rPr>
              <w:t xml:space="preserve"> (3), 1 -17. </w:t>
            </w:r>
            <w:proofErr w:type="spellStart"/>
            <w:r w:rsidRPr="008F1E04">
              <w:rPr>
                <w:szCs w:val="14"/>
              </w:rPr>
              <w:t>doi</w:t>
            </w:r>
            <w:proofErr w:type="spellEnd"/>
            <w:r w:rsidRPr="008F1E04">
              <w:rPr>
                <w:szCs w:val="14"/>
              </w:rPr>
              <w:t>: 10.1177/1557085113519491</w:t>
            </w:r>
          </w:p>
          <w:p w:rsidR="00C95B57" w:rsidRDefault="00C95B57" w:rsidP="009A6C12">
            <w:pPr>
              <w:ind w:left="720" w:hanging="720"/>
              <w:jc w:val="both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  <w:p w:rsidR="00671B84" w:rsidRPr="00D82477" w:rsidRDefault="00671B84" w:rsidP="009A6C12">
            <w:pPr>
              <w:ind w:left="720" w:hanging="720"/>
              <w:jc w:val="both"/>
              <w:rPr>
                <w:szCs w:val="14"/>
                <w:lang w:val="es-CL"/>
              </w:rPr>
            </w:pPr>
            <w:r w:rsidRPr="00D82477">
              <w:rPr>
                <w:szCs w:val="14"/>
                <w:lang w:val="es-CL"/>
              </w:rPr>
              <w:t xml:space="preserve">Antony, C. (1999). Reflexiones sobre los procesos de criminalidad y criminalización de las mujeres en América Latina implicadas en delitos relacionados con droga. En Facio, A., &amp; </w:t>
            </w:r>
            <w:proofErr w:type="spellStart"/>
            <w:r w:rsidRPr="00D82477">
              <w:rPr>
                <w:szCs w:val="14"/>
                <w:lang w:val="es-CL"/>
              </w:rPr>
              <w:t>Fries</w:t>
            </w:r>
            <w:proofErr w:type="spellEnd"/>
            <w:r w:rsidRPr="00D82477">
              <w:rPr>
                <w:szCs w:val="14"/>
                <w:lang w:val="es-CL"/>
              </w:rPr>
              <w:t xml:space="preserve">, L.  Género y </w:t>
            </w:r>
            <w:proofErr w:type="gramStart"/>
            <w:r w:rsidRPr="00D82477">
              <w:rPr>
                <w:szCs w:val="14"/>
                <w:lang w:val="es-CL"/>
              </w:rPr>
              <w:t>Derecho,  (</w:t>
            </w:r>
            <w:proofErr w:type="gramEnd"/>
            <w:r w:rsidRPr="00D82477">
              <w:rPr>
                <w:szCs w:val="14"/>
                <w:lang w:val="es-CL"/>
              </w:rPr>
              <w:t xml:space="preserve">pp. 737-744). Washington DC, Estados Unidos; Santiago, </w:t>
            </w:r>
            <w:proofErr w:type="gramStart"/>
            <w:r w:rsidRPr="00D82477">
              <w:rPr>
                <w:szCs w:val="14"/>
                <w:lang w:val="es-CL"/>
              </w:rPr>
              <w:t>Chile :American</w:t>
            </w:r>
            <w:proofErr w:type="gramEnd"/>
            <w:r w:rsidRPr="00D82477">
              <w:rPr>
                <w:szCs w:val="14"/>
                <w:lang w:val="es-CL"/>
              </w:rPr>
              <w:t xml:space="preserve"> </w:t>
            </w:r>
            <w:proofErr w:type="spellStart"/>
            <w:r w:rsidRPr="00D82477">
              <w:rPr>
                <w:szCs w:val="14"/>
                <w:lang w:val="es-CL"/>
              </w:rPr>
              <w:t>University</w:t>
            </w:r>
            <w:proofErr w:type="spellEnd"/>
            <w:r w:rsidRPr="00D82477">
              <w:rPr>
                <w:szCs w:val="14"/>
                <w:lang w:val="es-CL"/>
              </w:rPr>
              <w:t xml:space="preserve">, Washington </w:t>
            </w:r>
            <w:proofErr w:type="spellStart"/>
            <w:r w:rsidRPr="00D82477">
              <w:rPr>
                <w:szCs w:val="14"/>
                <w:lang w:val="es-CL"/>
              </w:rPr>
              <w:t>Collee</w:t>
            </w:r>
            <w:proofErr w:type="spellEnd"/>
            <w:r w:rsidRPr="00D82477">
              <w:rPr>
                <w:szCs w:val="14"/>
                <w:lang w:val="es-CL"/>
              </w:rPr>
              <w:t xml:space="preserve"> </w:t>
            </w:r>
            <w:proofErr w:type="spellStart"/>
            <w:r w:rsidRPr="00D82477">
              <w:rPr>
                <w:szCs w:val="14"/>
                <w:lang w:val="es-CL"/>
              </w:rPr>
              <w:t>of</w:t>
            </w:r>
            <w:proofErr w:type="spellEnd"/>
            <w:r w:rsidRPr="00D82477">
              <w:rPr>
                <w:szCs w:val="14"/>
                <w:lang w:val="es-CL"/>
              </w:rPr>
              <w:t xml:space="preserve"> </w:t>
            </w:r>
            <w:proofErr w:type="spellStart"/>
            <w:r w:rsidRPr="00D82477">
              <w:rPr>
                <w:szCs w:val="14"/>
                <w:lang w:val="es-CL"/>
              </w:rPr>
              <w:t>law</w:t>
            </w:r>
            <w:proofErr w:type="spellEnd"/>
            <w:r w:rsidRPr="00D82477">
              <w:rPr>
                <w:szCs w:val="14"/>
                <w:lang w:val="es-CL"/>
              </w:rPr>
              <w:t xml:space="preserve"> : LOM eds. : La Morada.</w:t>
            </w:r>
          </w:p>
          <w:p w:rsidR="00D66EE0" w:rsidRPr="00D82477" w:rsidRDefault="00D66EE0" w:rsidP="009A6C12">
            <w:pPr>
              <w:ind w:left="720" w:hanging="720"/>
              <w:jc w:val="both"/>
              <w:rPr>
                <w:szCs w:val="14"/>
                <w:lang w:val="es-CL"/>
              </w:rPr>
            </w:pPr>
          </w:p>
          <w:p w:rsidR="006E5A3E" w:rsidRPr="00D82477" w:rsidRDefault="006E5A3E" w:rsidP="009A6C12">
            <w:pPr>
              <w:ind w:left="720" w:hanging="720"/>
              <w:jc w:val="both"/>
              <w:rPr>
                <w:szCs w:val="14"/>
                <w:lang w:val="es-CL"/>
              </w:rPr>
            </w:pPr>
            <w:r w:rsidRPr="006E5A3E">
              <w:rPr>
                <w:szCs w:val="14"/>
                <w:lang w:val="en-US"/>
              </w:rPr>
              <w:t xml:space="preserve">Rojas, D., </w:t>
            </w:r>
            <w:proofErr w:type="spellStart"/>
            <w:r w:rsidRPr="006E5A3E">
              <w:rPr>
                <w:szCs w:val="14"/>
                <w:lang w:val="en-US"/>
              </w:rPr>
              <w:t>Benkelfat</w:t>
            </w:r>
            <w:proofErr w:type="spellEnd"/>
            <w:r w:rsidRPr="006E5A3E">
              <w:rPr>
                <w:szCs w:val="14"/>
                <w:lang w:val="en-US"/>
              </w:rPr>
              <w:t xml:space="preserve">, K &amp; Mora, A. (2016).  </w:t>
            </w:r>
            <w:r w:rsidRPr="00D82477">
              <w:rPr>
                <w:szCs w:val="14"/>
                <w:lang w:val="es-CL"/>
              </w:rPr>
              <w:t xml:space="preserve">Narrativas acerca de las </w:t>
            </w:r>
            <w:proofErr w:type="gramStart"/>
            <w:r w:rsidRPr="00D82477">
              <w:rPr>
                <w:szCs w:val="14"/>
                <w:lang w:val="es-CL"/>
              </w:rPr>
              <w:t>relaciones  familiares</w:t>
            </w:r>
            <w:proofErr w:type="gramEnd"/>
            <w:r w:rsidRPr="00D82477">
              <w:rPr>
                <w:szCs w:val="14"/>
                <w:lang w:val="es-CL"/>
              </w:rPr>
              <w:t xml:space="preserve"> en mujeres en situación de reclusión carcelaria. Revista Latinoamericana de Ciencias Sociales, Niñez y Juventud, 14(1), 273-286. Doi:10.11600/1692715x.14118160215.</w:t>
            </w:r>
          </w:p>
          <w:p w:rsidR="006E5A3E" w:rsidRPr="006E5A3E" w:rsidRDefault="006E5A3E" w:rsidP="009A6C12">
            <w:pPr>
              <w:ind w:left="720" w:hanging="720"/>
              <w:jc w:val="both"/>
              <w:rPr>
                <w:szCs w:val="14"/>
              </w:rPr>
            </w:pPr>
          </w:p>
          <w:p w:rsidR="003617B4" w:rsidRDefault="00A82525" w:rsidP="009A6C12">
            <w:pPr>
              <w:ind w:left="720" w:hanging="720"/>
              <w:jc w:val="both"/>
              <w:rPr>
                <w:szCs w:val="14"/>
                <w:lang w:val="en-US"/>
              </w:rPr>
            </w:pPr>
            <w:r w:rsidRPr="00550C55">
              <w:rPr>
                <w:szCs w:val="14"/>
                <w:lang w:val="es-CL"/>
              </w:rPr>
              <w:t>Aristizábal</w:t>
            </w:r>
            <w:r w:rsidR="00550C55" w:rsidRPr="00550C55">
              <w:rPr>
                <w:szCs w:val="14"/>
                <w:lang w:val="es-CL"/>
              </w:rPr>
              <w:t>, L.</w:t>
            </w:r>
            <w:r w:rsidR="00550C55">
              <w:rPr>
                <w:szCs w:val="14"/>
                <w:lang w:val="es-CL"/>
              </w:rPr>
              <w:t xml:space="preserve"> </w:t>
            </w:r>
            <w:r w:rsidRPr="00550C55">
              <w:rPr>
                <w:szCs w:val="14"/>
                <w:lang w:val="es-CL"/>
              </w:rPr>
              <w:t>&amp; Cubells</w:t>
            </w:r>
            <w:r w:rsidR="00550C55">
              <w:rPr>
                <w:szCs w:val="14"/>
                <w:lang w:val="es-CL"/>
              </w:rPr>
              <w:t xml:space="preserve">, J. </w:t>
            </w:r>
            <w:r w:rsidRPr="00D82477">
              <w:rPr>
                <w:szCs w:val="14"/>
                <w:lang w:val="es-CL"/>
              </w:rPr>
              <w:t>(2017). Delincuencia femenina y desistimiento: factores explicativos. </w:t>
            </w:r>
            <w:proofErr w:type="spellStart"/>
            <w:r w:rsidRPr="00A82525">
              <w:rPr>
                <w:szCs w:val="14"/>
                <w:lang w:val="en-US"/>
              </w:rPr>
              <w:t>Universitas</w:t>
            </w:r>
            <w:proofErr w:type="spellEnd"/>
            <w:r w:rsidRPr="00A82525">
              <w:rPr>
                <w:szCs w:val="14"/>
                <w:lang w:val="en-US"/>
              </w:rPr>
              <w:t xml:space="preserve"> </w:t>
            </w:r>
            <w:proofErr w:type="spellStart"/>
            <w:r w:rsidRPr="00A82525">
              <w:rPr>
                <w:szCs w:val="14"/>
                <w:lang w:val="en-US"/>
              </w:rPr>
              <w:t>Psychologica</w:t>
            </w:r>
            <w:proofErr w:type="spellEnd"/>
            <w:r w:rsidRPr="00A82525">
              <w:rPr>
                <w:szCs w:val="14"/>
                <w:lang w:val="en-US"/>
              </w:rPr>
              <w:t>, 16(4), 6-19. </w:t>
            </w:r>
            <w:hyperlink r:id="rId6" w:history="1">
              <w:r w:rsidRPr="00A82525">
                <w:rPr>
                  <w:szCs w:val="14"/>
                  <w:lang w:val="en-US"/>
                </w:rPr>
                <w:t>https://dx.doi.org/10.11144/javeriana.upsy16-4.dfdf</w:t>
              </w:r>
            </w:hyperlink>
          </w:p>
          <w:p w:rsidR="009A6C12" w:rsidRPr="008F1E04" w:rsidRDefault="009A6C12" w:rsidP="009A6C12">
            <w:pPr>
              <w:ind w:left="720" w:hanging="720"/>
              <w:jc w:val="both"/>
              <w:rPr>
                <w:sz w:val="24"/>
                <w:lang w:val="es-CL"/>
              </w:rPr>
            </w:pPr>
          </w:p>
        </w:tc>
      </w:tr>
      <w:tr w:rsidR="00C95B57">
        <w:trPr>
          <w:trHeight w:val="273"/>
        </w:trPr>
        <w:tc>
          <w:tcPr>
            <w:tcW w:w="8658" w:type="dxa"/>
          </w:tcPr>
          <w:p w:rsidR="00C95B57" w:rsidRDefault="00D44367">
            <w:pPr>
              <w:pStyle w:val="TableParagraph"/>
              <w:spacing w:line="254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VIII.- Bibliografía complementaria</w:t>
            </w:r>
          </w:p>
        </w:tc>
      </w:tr>
      <w:tr w:rsidR="00C95B57" w:rsidRPr="009A5242">
        <w:trPr>
          <w:trHeight w:val="3168"/>
        </w:trPr>
        <w:tc>
          <w:tcPr>
            <w:tcW w:w="8658" w:type="dxa"/>
          </w:tcPr>
          <w:p w:rsidR="009A6C12" w:rsidRDefault="009A6C12" w:rsidP="009A6C12">
            <w:pPr>
              <w:jc w:val="both"/>
              <w:rPr>
                <w:szCs w:val="14"/>
              </w:rPr>
            </w:pPr>
            <w:r w:rsidRPr="008F1E04">
              <w:rPr>
                <w:szCs w:val="14"/>
              </w:rPr>
              <w:t xml:space="preserve">Flores, P y Salinas M. (2015). Delitos Sexuales Infanto-Juveniles Perpetrados por Mujeres: Caracterización Y Análisis Fenomenológico en el Contexto Chileno". </w:t>
            </w:r>
            <w:proofErr w:type="spellStart"/>
            <w:r w:rsidRPr="009A5242">
              <w:rPr>
                <w:szCs w:val="14"/>
              </w:rPr>
              <w:t>Universitas</w:t>
            </w:r>
            <w:proofErr w:type="spellEnd"/>
            <w:r w:rsidRPr="009A5242">
              <w:rPr>
                <w:szCs w:val="14"/>
              </w:rPr>
              <w:t xml:space="preserve"> </w:t>
            </w:r>
            <w:proofErr w:type="spellStart"/>
            <w:r w:rsidRPr="009A5242">
              <w:rPr>
                <w:szCs w:val="14"/>
              </w:rPr>
              <w:t>Psychologica</w:t>
            </w:r>
            <w:proofErr w:type="spellEnd"/>
            <w:r w:rsidRPr="009A5242">
              <w:rPr>
                <w:szCs w:val="14"/>
              </w:rPr>
              <w:t>.</w:t>
            </w:r>
            <w:r w:rsidRPr="008F1E04">
              <w:rPr>
                <w:szCs w:val="14"/>
              </w:rPr>
              <w:t xml:space="preserve"> Colombia, Bogotá: 2015</w:t>
            </w:r>
          </w:p>
          <w:p w:rsidR="009A6C12" w:rsidRDefault="009A6C12" w:rsidP="009A6C12">
            <w:pPr>
              <w:jc w:val="both"/>
              <w:rPr>
                <w:szCs w:val="14"/>
              </w:rPr>
            </w:pPr>
          </w:p>
          <w:p w:rsidR="009A5242" w:rsidRPr="00D82477" w:rsidRDefault="009A5242" w:rsidP="006401D7">
            <w:pPr>
              <w:spacing w:line="360" w:lineRule="auto"/>
              <w:ind w:left="709" w:hanging="709"/>
              <w:jc w:val="both"/>
              <w:rPr>
                <w:szCs w:val="14"/>
                <w:lang w:val="en-US"/>
              </w:rPr>
            </w:pPr>
            <w:r w:rsidRPr="009A5242">
              <w:rPr>
                <w:szCs w:val="14"/>
              </w:rPr>
              <w:t xml:space="preserve">Cooper, D. (1994). Delincuencia Común en Chile. </w:t>
            </w:r>
            <w:proofErr w:type="spellStart"/>
            <w:r w:rsidRPr="00D82477">
              <w:rPr>
                <w:szCs w:val="14"/>
                <w:lang w:val="en-US"/>
              </w:rPr>
              <w:t>Ediciones</w:t>
            </w:r>
            <w:proofErr w:type="spellEnd"/>
            <w:r w:rsidRPr="00D82477">
              <w:rPr>
                <w:szCs w:val="14"/>
                <w:lang w:val="en-US"/>
              </w:rPr>
              <w:t xml:space="preserve"> LOM. Santiago, Chile.</w:t>
            </w:r>
          </w:p>
          <w:p w:rsidR="00DF6944" w:rsidRPr="00D82477" w:rsidRDefault="00DF6944" w:rsidP="006401D7">
            <w:pPr>
              <w:jc w:val="both"/>
              <w:rPr>
                <w:szCs w:val="14"/>
                <w:lang w:val="en-US"/>
              </w:rPr>
            </w:pPr>
            <w:r w:rsidRPr="00D82477">
              <w:rPr>
                <w:szCs w:val="14"/>
                <w:lang w:val="en-US"/>
              </w:rPr>
              <w:t>Daly, K. (1992).  Women’s pathways to felony court:  Feminist theories of lawbreaking and problems of representation.  Southern California Review of Law and Women’s Studies, 2(1), 11-52.</w:t>
            </w:r>
          </w:p>
          <w:p w:rsidR="00DF6944" w:rsidRPr="00D82477" w:rsidRDefault="00DF6944" w:rsidP="00DF6944">
            <w:pPr>
              <w:spacing w:line="360" w:lineRule="auto"/>
              <w:jc w:val="both"/>
              <w:rPr>
                <w:szCs w:val="14"/>
                <w:lang w:val="en-US"/>
              </w:rPr>
            </w:pPr>
          </w:p>
          <w:p w:rsidR="00550C55" w:rsidRPr="00550C55" w:rsidRDefault="00550C55" w:rsidP="00550C55">
            <w:pPr>
              <w:ind w:left="720" w:hanging="720"/>
              <w:jc w:val="both"/>
              <w:rPr>
                <w:szCs w:val="14"/>
                <w:lang w:val="en-US"/>
              </w:rPr>
            </w:pPr>
            <w:r w:rsidRPr="00550C55">
              <w:rPr>
                <w:szCs w:val="14"/>
                <w:lang w:val="en-US"/>
              </w:rPr>
              <w:t>Flores, P., Marchant, J., Soto, E. (2010) Género y cárceles en Latinoamérica”. Revista de Ciencias Sociales (56), 13-48.</w:t>
            </w:r>
          </w:p>
          <w:p w:rsidR="00550C55" w:rsidRPr="009A5242" w:rsidRDefault="00550C55" w:rsidP="00DF6944">
            <w:pPr>
              <w:spacing w:line="360" w:lineRule="auto"/>
              <w:jc w:val="both"/>
              <w:rPr>
                <w:szCs w:val="14"/>
              </w:rPr>
            </w:pPr>
          </w:p>
          <w:p w:rsidR="009A5242" w:rsidRDefault="009A5242" w:rsidP="009A6C12">
            <w:pPr>
              <w:jc w:val="both"/>
              <w:rPr>
                <w:szCs w:val="14"/>
              </w:rPr>
            </w:pPr>
          </w:p>
          <w:p w:rsidR="009A6C12" w:rsidRPr="008F1E04" w:rsidRDefault="009A6C12" w:rsidP="009A6C12">
            <w:pPr>
              <w:jc w:val="both"/>
              <w:rPr>
                <w:szCs w:val="14"/>
              </w:rPr>
            </w:pPr>
          </w:p>
          <w:p w:rsidR="00C95B57" w:rsidRPr="009A5242" w:rsidRDefault="00C95B57" w:rsidP="008746D7">
            <w:pPr>
              <w:pStyle w:val="TableParagraph"/>
              <w:tabs>
                <w:tab w:val="left" w:pos="840"/>
                <w:tab w:val="left" w:pos="841"/>
              </w:tabs>
              <w:spacing w:line="293" w:lineRule="exact"/>
              <w:ind w:left="840"/>
              <w:rPr>
                <w:szCs w:val="14"/>
              </w:rPr>
            </w:pPr>
          </w:p>
        </w:tc>
      </w:tr>
    </w:tbl>
    <w:p w:rsidR="00D44367" w:rsidRDefault="00D44367"/>
    <w:sectPr w:rsidR="00D44367">
      <w:pgSz w:w="11910" w:h="16840"/>
      <w:pgMar w:top="1360" w:right="154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82BEE"/>
    <w:multiLevelType w:val="hybridMultilevel"/>
    <w:tmpl w:val="105AA4F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181867"/>
    <w:multiLevelType w:val="hybridMultilevel"/>
    <w:tmpl w:val="DD603F1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DB3916"/>
    <w:multiLevelType w:val="hybridMultilevel"/>
    <w:tmpl w:val="A6C20738"/>
    <w:lvl w:ilvl="0" w:tplc="68E6A16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8048DA84">
      <w:numFmt w:val="bullet"/>
      <w:lvlText w:val="•"/>
      <w:lvlJc w:val="left"/>
      <w:pPr>
        <w:ind w:left="1620" w:hanging="360"/>
      </w:pPr>
      <w:rPr>
        <w:rFonts w:hint="default"/>
        <w:lang w:val="es-ES" w:eastAsia="es-ES" w:bidi="es-ES"/>
      </w:rPr>
    </w:lvl>
    <w:lvl w:ilvl="2" w:tplc="B38CB328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91226C2A">
      <w:numFmt w:val="bullet"/>
      <w:lvlText w:val="•"/>
      <w:lvlJc w:val="left"/>
      <w:pPr>
        <w:ind w:left="3182" w:hanging="360"/>
      </w:pPr>
      <w:rPr>
        <w:rFonts w:hint="default"/>
        <w:lang w:val="es-ES" w:eastAsia="es-ES" w:bidi="es-ES"/>
      </w:rPr>
    </w:lvl>
    <w:lvl w:ilvl="4" w:tplc="297E4946">
      <w:numFmt w:val="bullet"/>
      <w:lvlText w:val="•"/>
      <w:lvlJc w:val="left"/>
      <w:pPr>
        <w:ind w:left="3963" w:hanging="360"/>
      </w:pPr>
      <w:rPr>
        <w:rFonts w:hint="default"/>
        <w:lang w:val="es-ES" w:eastAsia="es-ES" w:bidi="es-ES"/>
      </w:rPr>
    </w:lvl>
    <w:lvl w:ilvl="5" w:tplc="737274A8">
      <w:numFmt w:val="bullet"/>
      <w:lvlText w:val="•"/>
      <w:lvlJc w:val="left"/>
      <w:pPr>
        <w:ind w:left="4744" w:hanging="360"/>
      </w:pPr>
      <w:rPr>
        <w:rFonts w:hint="default"/>
        <w:lang w:val="es-ES" w:eastAsia="es-ES" w:bidi="es-ES"/>
      </w:rPr>
    </w:lvl>
    <w:lvl w:ilvl="6" w:tplc="C47441A2">
      <w:numFmt w:val="bullet"/>
      <w:lvlText w:val="•"/>
      <w:lvlJc w:val="left"/>
      <w:pPr>
        <w:ind w:left="5524" w:hanging="360"/>
      </w:pPr>
      <w:rPr>
        <w:rFonts w:hint="default"/>
        <w:lang w:val="es-ES" w:eastAsia="es-ES" w:bidi="es-ES"/>
      </w:rPr>
    </w:lvl>
    <w:lvl w:ilvl="7" w:tplc="4110800E">
      <w:numFmt w:val="bullet"/>
      <w:lvlText w:val="•"/>
      <w:lvlJc w:val="left"/>
      <w:pPr>
        <w:ind w:left="6305" w:hanging="360"/>
      </w:pPr>
      <w:rPr>
        <w:rFonts w:hint="default"/>
        <w:lang w:val="es-ES" w:eastAsia="es-ES" w:bidi="es-ES"/>
      </w:rPr>
    </w:lvl>
    <w:lvl w:ilvl="8" w:tplc="334A2FDC">
      <w:numFmt w:val="bullet"/>
      <w:lvlText w:val="•"/>
      <w:lvlJc w:val="left"/>
      <w:pPr>
        <w:ind w:left="7086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2CBD15EB"/>
    <w:multiLevelType w:val="hybridMultilevel"/>
    <w:tmpl w:val="044A0CA8"/>
    <w:lvl w:ilvl="0" w:tplc="02F617FC">
      <w:start w:val="1"/>
      <w:numFmt w:val="lowerLetter"/>
      <w:lvlText w:val="%1."/>
      <w:lvlJc w:val="left"/>
      <w:pPr>
        <w:ind w:left="686" w:hanging="361"/>
      </w:pPr>
      <w:rPr>
        <w:rFonts w:ascii="Times New Roman" w:eastAsia="Times New Roman" w:hAnsi="Times New Roman" w:cs="Times New Roman" w:hint="default"/>
        <w:spacing w:val="-30"/>
        <w:w w:val="95"/>
        <w:sz w:val="24"/>
        <w:szCs w:val="24"/>
        <w:lang w:val="es-ES" w:eastAsia="es-ES" w:bidi="es-ES"/>
      </w:rPr>
    </w:lvl>
    <w:lvl w:ilvl="1" w:tplc="9C60AC46">
      <w:numFmt w:val="bullet"/>
      <w:lvlText w:val="•"/>
      <w:lvlJc w:val="left"/>
      <w:pPr>
        <w:ind w:left="1476" w:hanging="361"/>
      </w:pPr>
      <w:rPr>
        <w:rFonts w:hint="default"/>
        <w:lang w:val="es-ES" w:eastAsia="es-ES" w:bidi="es-ES"/>
      </w:rPr>
    </w:lvl>
    <w:lvl w:ilvl="2" w:tplc="9CC830EE">
      <w:numFmt w:val="bullet"/>
      <w:lvlText w:val="•"/>
      <w:lvlJc w:val="left"/>
      <w:pPr>
        <w:ind w:left="2273" w:hanging="361"/>
      </w:pPr>
      <w:rPr>
        <w:rFonts w:hint="default"/>
        <w:lang w:val="es-ES" w:eastAsia="es-ES" w:bidi="es-ES"/>
      </w:rPr>
    </w:lvl>
    <w:lvl w:ilvl="3" w:tplc="7F0A0F82">
      <w:numFmt w:val="bullet"/>
      <w:lvlText w:val="•"/>
      <w:lvlJc w:val="left"/>
      <w:pPr>
        <w:ind w:left="3070" w:hanging="361"/>
      </w:pPr>
      <w:rPr>
        <w:rFonts w:hint="default"/>
        <w:lang w:val="es-ES" w:eastAsia="es-ES" w:bidi="es-ES"/>
      </w:rPr>
    </w:lvl>
    <w:lvl w:ilvl="4" w:tplc="45AAE9E0">
      <w:numFmt w:val="bullet"/>
      <w:lvlText w:val="•"/>
      <w:lvlJc w:val="left"/>
      <w:pPr>
        <w:ind w:left="3867" w:hanging="361"/>
      </w:pPr>
      <w:rPr>
        <w:rFonts w:hint="default"/>
        <w:lang w:val="es-ES" w:eastAsia="es-ES" w:bidi="es-ES"/>
      </w:rPr>
    </w:lvl>
    <w:lvl w:ilvl="5" w:tplc="E89A1602">
      <w:numFmt w:val="bullet"/>
      <w:lvlText w:val="•"/>
      <w:lvlJc w:val="left"/>
      <w:pPr>
        <w:ind w:left="4664" w:hanging="361"/>
      </w:pPr>
      <w:rPr>
        <w:rFonts w:hint="default"/>
        <w:lang w:val="es-ES" w:eastAsia="es-ES" w:bidi="es-ES"/>
      </w:rPr>
    </w:lvl>
    <w:lvl w:ilvl="6" w:tplc="A9907536">
      <w:numFmt w:val="bullet"/>
      <w:lvlText w:val="•"/>
      <w:lvlJc w:val="left"/>
      <w:pPr>
        <w:ind w:left="5460" w:hanging="361"/>
      </w:pPr>
      <w:rPr>
        <w:rFonts w:hint="default"/>
        <w:lang w:val="es-ES" w:eastAsia="es-ES" w:bidi="es-ES"/>
      </w:rPr>
    </w:lvl>
    <w:lvl w:ilvl="7" w:tplc="2B049E12">
      <w:numFmt w:val="bullet"/>
      <w:lvlText w:val="•"/>
      <w:lvlJc w:val="left"/>
      <w:pPr>
        <w:ind w:left="6257" w:hanging="361"/>
      </w:pPr>
      <w:rPr>
        <w:rFonts w:hint="default"/>
        <w:lang w:val="es-ES" w:eastAsia="es-ES" w:bidi="es-ES"/>
      </w:rPr>
    </w:lvl>
    <w:lvl w:ilvl="8" w:tplc="928CAAB6">
      <w:numFmt w:val="bullet"/>
      <w:lvlText w:val="•"/>
      <w:lvlJc w:val="left"/>
      <w:pPr>
        <w:ind w:left="7054" w:hanging="361"/>
      </w:pPr>
      <w:rPr>
        <w:rFonts w:hint="default"/>
        <w:lang w:val="es-ES" w:eastAsia="es-ES" w:bidi="es-ES"/>
      </w:rPr>
    </w:lvl>
  </w:abstractNum>
  <w:abstractNum w:abstractNumId="4" w15:restartNumberingAfterBreak="0">
    <w:nsid w:val="3151349B"/>
    <w:multiLevelType w:val="hybridMultilevel"/>
    <w:tmpl w:val="BC9068A6"/>
    <w:lvl w:ilvl="0" w:tplc="23D89FE2">
      <w:start w:val="1"/>
      <w:numFmt w:val="decimal"/>
      <w:lvlText w:val="%1."/>
      <w:lvlJc w:val="left"/>
      <w:pPr>
        <w:ind w:left="686" w:hanging="361"/>
      </w:pPr>
      <w:rPr>
        <w:rFonts w:ascii="Times New Roman" w:eastAsia="Times New Roman" w:hAnsi="Times New Roman" w:cs="Times New Roman" w:hint="default"/>
        <w:b/>
        <w:bCs/>
        <w:spacing w:val="-3"/>
        <w:w w:val="90"/>
        <w:sz w:val="24"/>
        <w:szCs w:val="24"/>
        <w:lang w:val="es-ES" w:eastAsia="es-ES" w:bidi="es-ES"/>
      </w:rPr>
    </w:lvl>
    <w:lvl w:ilvl="1" w:tplc="2946BB10">
      <w:numFmt w:val="bullet"/>
      <w:lvlText w:val=""/>
      <w:lvlJc w:val="left"/>
      <w:pPr>
        <w:ind w:left="969" w:hanging="140"/>
      </w:pPr>
      <w:rPr>
        <w:rFonts w:ascii="Symbol" w:eastAsia="Symbol" w:hAnsi="Symbol" w:cs="Symbol" w:hint="default"/>
        <w:spacing w:val="28"/>
        <w:w w:val="100"/>
        <w:sz w:val="24"/>
        <w:szCs w:val="24"/>
        <w:lang w:val="es-ES" w:eastAsia="es-ES" w:bidi="es-ES"/>
      </w:rPr>
    </w:lvl>
    <w:lvl w:ilvl="2" w:tplc="D806FC24">
      <w:numFmt w:val="bullet"/>
      <w:lvlText w:val="•"/>
      <w:lvlJc w:val="left"/>
      <w:pPr>
        <w:ind w:left="1814" w:hanging="140"/>
      </w:pPr>
      <w:rPr>
        <w:rFonts w:hint="default"/>
        <w:lang w:val="es-ES" w:eastAsia="es-ES" w:bidi="es-ES"/>
      </w:rPr>
    </w:lvl>
    <w:lvl w:ilvl="3" w:tplc="8370F814">
      <w:numFmt w:val="bullet"/>
      <w:lvlText w:val="•"/>
      <w:lvlJc w:val="left"/>
      <w:pPr>
        <w:ind w:left="2668" w:hanging="140"/>
      </w:pPr>
      <w:rPr>
        <w:rFonts w:hint="default"/>
        <w:lang w:val="es-ES" w:eastAsia="es-ES" w:bidi="es-ES"/>
      </w:rPr>
    </w:lvl>
    <w:lvl w:ilvl="4" w:tplc="A38A88BA">
      <w:numFmt w:val="bullet"/>
      <w:lvlText w:val="•"/>
      <w:lvlJc w:val="left"/>
      <w:pPr>
        <w:ind w:left="3522" w:hanging="140"/>
      </w:pPr>
      <w:rPr>
        <w:rFonts w:hint="default"/>
        <w:lang w:val="es-ES" w:eastAsia="es-ES" w:bidi="es-ES"/>
      </w:rPr>
    </w:lvl>
    <w:lvl w:ilvl="5" w:tplc="A7A268BE">
      <w:numFmt w:val="bullet"/>
      <w:lvlText w:val="•"/>
      <w:lvlJc w:val="left"/>
      <w:pPr>
        <w:ind w:left="4376" w:hanging="140"/>
      </w:pPr>
      <w:rPr>
        <w:rFonts w:hint="default"/>
        <w:lang w:val="es-ES" w:eastAsia="es-ES" w:bidi="es-ES"/>
      </w:rPr>
    </w:lvl>
    <w:lvl w:ilvl="6" w:tplc="9A60CF4C">
      <w:numFmt w:val="bullet"/>
      <w:lvlText w:val="•"/>
      <w:lvlJc w:val="left"/>
      <w:pPr>
        <w:ind w:left="5231" w:hanging="140"/>
      </w:pPr>
      <w:rPr>
        <w:rFonts w:hint="default"/>
        <w:lang w:val="es-ES" w:eastAsia="es-ES" w:bidi="es-ES"/>
      </w:rPr>
    </w:lvl>
    <w:lvl w:ilvl="7" w:tplc="53BA9C4C">
      <w:numFmt w:val="bullet"/>
      <w:lvlText w:val="•"/>
      <w:lvlJc w:val="left"/>
      <w:pPr>
        <w:ind w:left="6085" w:hanging="140"/>
      </w:pPr>
      <w:rPr>
        <w:rFonts w:hint="default"/>
        <w:lang w:val="es-ES" w:eastAsia="es-ES" w:bidi="es-ES"/>
      </w:rPr>
    </w:lvl>
    <w:lvl w:ilvl="8" w:tplc="8D7C55E4">
      <w:numFmt w:val="bullet"/>
      <w:lvlText w:val="•"/>
      <w:lvlJc w:val="left"/>
      <w:pPr>
        <w:ind w:left="6939" w:hanging="140"/>
      </w:pPr>
      <w:rPr>
        <w:rFonts w:hint="default"/>
        <w:lang w:val="es-ES" w:eastAsia="es-ES" w:bidi="es-ES"/>
      </w:rPr>
    </w:lvl>
  </w:abstractNum>
  <w:abstractNum w:abstractNumId="5" w15:restartNumberingAfterBreak="0">
    <w:nsid w:val="3D036251"/>
    <w:multiLevelType w:val="hybridMultilevel"/>
    <w:tmpl w:val="F88E21C2"/>
    <w:lvl w:ilvl="0" w:tplc="72D27664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4AAE8B58">
      <w:numFmt w:val="bullet"/>
      <w:lvlText w:val="•"/>
      <w:lvlJc w:val="left"/>
      <w:pPr>
        <w:ind w:left="1620" w:hanging="360"/>
      </w:pPr>
      <w:rPr>
        <w:rFonts w:hint="default"/>
        <w:lang w:val="es-ES" w:eastAsia="es-ES" w:bidi="es-ES"/>
      </w:rPr>
    </w:lvl>
    <w:lvl w:ilvl="2" w:tplc="195AE4BC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B13A9EA8">
      <w:numFmt w:val="bullet"/>
      <w:lvlText w:val="•"/>
      <w:lvlJc w:val="left"/>
      <w:pPr>
        <w:ind w:left="3182" w:hanging="360"/>
      </w:pPr>
      <w:rPr>
        <w:rFonts w:hint="default"/>
        <w:lang w:val="es-ES" w:eastAsia="es-ES" w:bidi="es-ES"/>
      </w:rPr>
    </w:lvl>
    <w:lvl w:ilvl="4" w:tplc="0BD4FDAA">
      <w:numFmt w:val="bullet"/>
      <w:lvlText w:val="•"/>
      <w:lvlJc w:val="left"/>
      <w:pPr>
        <w:ind w:left="3963" w:hanging="360"/>
      </w:pPr>
      <w:rPr>
        <w:rFonts w:hint="default"/>
        <w:lang w:val="es-ES" w:eastAsia="es-ES" w:bidi="es-ES"/>
      </w:rPr>
    </w:lvl>
    <w:lvl w:ilvl="5" w:tplc="12883684">
      <w:numFmt w:val="bullet"/>
      <w:lvlText w:val="•"/>
      <w:lvlJc w:val="left"/>
      <w:pPr>
        <w:ind w:left="4744" w:hanging="360"/>
      </w:pPr>
      <w:rPr>
        <w:rFonts w:hint="default"/>
        <w:lang w:val="es-ES" w:eastAsia="es-ES" w:bidi="es-ES"/>
      </w:rPr>
    </w:lvl>
    <w:lvl w:ilvl="6" w:tplc="F192EFE8">
      <w:numFmt w:val="bullet"/>
      <w:lvlText w:val="•"/>
      <w:lvlJc w:val="left"/>
      <w:pPr>
        <w:ind w:left="5524" w:hanging="360"/>
      </w:pPr>
      <w:rPr>
        <w:rFonts w:hint="default"/>
        <w:lang w:val="es-ES" w:eastAsia="es-ES" w:bidi="es-ES"/>
      </w:rPr>
    </w:lvl>
    <w:lvl w:ilvl="7" w:tplc="303E387A">
      <w:numFmt w:val="bullet"/>
      <w:lvlText w:val="•"/>
      <w:lvlJc w:val="left"/>
      <w:pPr>
        <w:ind w:left="6305" w:hanging="360"/>
      </w:pPr>
      <w:rPr>
        <w:rFonts w:hint="default"/>
        <w:lang w:val="es-ES" w:eastAsia="es-ES" w:bidi="es-ES"/>
      </w:rPr>
    </w:lvl>
    <w:lvl w:ilvl="8" w:tplc="234C5C92">
      <w:numFmt w:val="bullet"/>
      <w:lvlText w:val="•"/>
      <w:lvlJc w:val="left"/>
      <w:pPr>
        <w:ind w:left="7086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3F281CC8"/>
    <w:multiLevelType w:val="hybridMultilevel"/>
    <w:tmpl w:val="93E2F00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33744D"/>
    <w:multiLevelType w:val="hybridMultilevel"/>
    <w:tmpl w:val="07D86230"/>
    <w:lvl w:ilvl="0" w:tplc="2C482976">
      <w:start w:val="3"/>
      <w:numFmt w:val="decimal"/>
      <w:lvlText w:val="%1."/>
      <w:lvlJc w:val="left"/>
      <w:pPr>
        <w:ind w:left="686" w:hanging="361"/>
      </w:pPr>
      <w:rPr>
        <w:rFonts w:ascii="Times New Roman" w:eastAsia="Times New Roman" w:hAnsi="Times New Roman" w:cs="Times New Roman" w:hint="default"/>
        <w:b/>
        <w:bCs/>
        <w:spacing w:val="-3"/>
        <w:w w:val="90"/>
        <w:sz w:val="24"/>
        <w:szCs w:val="24"/>
        <w:lang w:val="es-ES" w:eastAsia="es-ES" w:bidi="es-ES"/>
      </w:rPr>
    </w:lvl>
    <w:lvl w:ilvl="1" w:tplc="0762B3A0">
      <w:numFmt w:val="bullet"/>
      <w:lvlText w:val=""/>
      <w:lvlJc w:val="left"/>
      <w:pPr>
        <w:ind w:left="969" w:hanging="140"/>
      </w:pPr>
      <w:rPr>
        <w:rFonts w:ascii="Symbol" w:eastAsia="Symbol" w:hAnsi="Symbol" w:cs="Symbol" w:hint="default"/>
        <w:spacing w:val="28"/>
        <w:w w:val="100"/>
        <w:sz w:val="24"/>
        <w:szCs w:val="24"/>
        <w:lang w:val="es-ES" w:eastAsia="es-ES" w:bidi="es-ES"/>
      </w:rPr>
    </w:lvl>
    <w:lvl w:ilvl="2" w:tplc="7ED07E16">
      <w:numFmt w:val="bullet"/>
      <w:lvlText w:val="•"/>
      <w:lvlJc w:val="left"/>
      <w:pPr>
        <w:ind w:left="1814" w:hanging="140"/>
      </w:pPr>
      <w:rPr>
        <w:rFonts w:hint="default"/>
        <w:lang w:val="es-ES" w:eastAsia="es-ES" w:bidi="es-ES"/>
      </w:rPr>
    </w:lvl>
    <w:lvl w:ilvl="3" w:tplc="94B4279A">
      <w:numFmt w:val="bullet"/>
      <w:lvlText w:val="•"/>
      <w:lvlJc w:val="left"/>
      <w:pPr>
        <w:ind w:left="2668" w:hanging="140"/>
      </w:pPr>
      <w:rPr>
        <w:rFonts w:hint="default"/>
        <w:lang w:val="es-ES" w:eastAsia="es-ES" w:bidi="es-ES"/>
      </w:rPr>
    </w:lvl>
    <w:lvl w:ilvl="4" w:tplc="AB2A13F2">
      <w:numFmt w:val="bullet"/>
      <w:lvlText w:val="•"/>
      <w:lvlJc w:val="left"/>
      <w:pPr>
        <w:ind w:left="3522" w:hanging="140"/>
      </w:pPr>
      <w:rPr>
        <w:rFonts w:hint="default"/>
        <w:lang w:val="es-ES" w:eastAsia="es-ES" w:bidi="es-ES"/>
      </w:rPr>
    </w:lvl>
    <w:lvl w:ilvl="5" w:tplc="6DEA0452">
      <w:numFmt w:val="bullet"/>
      <w:lvlText w:val="•"/>
      <w:lvlJc w:val="left"/>
      <w:pPr>
        <w:ind w:left="4376" w:hanging="140"/>
      </w:pPr>
      <w:rPr>
        <w:rFonts w:hint="default"/>
        <w:lang w:val="es-ES" w:eastAsia="es-ES" w:bidi="es-ES"/>
      </w:rPr>
    </w:lvl>
    <w:lvl w:ilvl="6" w:tplc="F81AA8E6">
      <w:numFmt w:val="bullet"/>
      <w:lvlText w:val="•"/>
      <w:lvlJc w:val="left"/>
      <w:pPr>
        <w:ind w:left="5231" w:hanging="140"/>
      </w:pPr>
      <w:rPr>
        <w:rFonts w:hint="default"/>
        <w:lang w:val="es-ES" w:eastAsia="es-ES" w:bidi="es-ES"/>
      </w:rPr>
    </w:lvl>
    <w:lvl w:ilvl="7" w:tplc="18586F28">
      <w:numFmt w:val="bullet"/>
      <w:lvlText w:val="•"/>
      <w:lvlJc w:val="left"/>
      <w:pPr>
        <w:ind w:left="6085" w:hanging="140"/>
      </w:pPr>
      <w:rPr>
        <w:rFonts w:hint="default"/>
        <w:lang w:val="es-ES" w:eastAsia="es-ES" w:bidi="es-ES"/>
      </w:rPr>
    </w:lvl>
    <w:lvl w:ilvl="8" w:tplc="D590953A">
      <w:numFmt w:val="bullet"/>
      <w:lvlText w:val="•"/>
      <w:lvlJc w:val="left"/>
      <w:pPr>
        <w:ind w:left="6939" w:hanging="140"/>
      </w:pPr>
      <w:rPr>
        <w:rFonts w:hint="default"/>
        <w:lang w:val="es-ES" w:eastAsia="es-ES" w:bidi="es-ES"/>
      </w:rPr>
    </w:lvl>
  </w:abstractNum>
  <w:abstractNum w:abstractNumId="8" w15:restartNumberingAfterBreak="0">
    <w:nsid w:val="448558DC"/>
    <w:multiLevelType w:val="hybridMultilevel"/>
    <w:tmpl w:val="552AA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35F83"/>
    <w:multiLevelType w:val="hybridMultilevel"/>
    <w:tmpl w:val="C178AC24"/>
    <w:lvl w:ilvl="0" w:tplc="77546CE0">
      <w:start w:val="1"/>
      <w:numFmt w:val="decimal"/>
      <w:lvlText w:val="%1."/>
      <w:lvlJc w:val="left"/>
      <w:pPr>
        <w:ind w:left="686" w:hanging="361"/>
      </w:pPr>
      <w:rPr>
        <w:rFonts w:ascii="Times New Roman" w:eastAsia="Times New Roman" w:hAnsi="Times New Roman" w:cs="Times New Roman" w:hint="default"/>
        <w:b/>
        <w:bCs/>
        <w:spacing w:val="-8"/>
        <w:w w:val="90"/>
        <w:sz w:val="24"/>
        <w:szCs w:val="24"/>
        <w:lang w:val="es-ES" w:eastAsia="es-ES" w:bidi="es-ES"/>
      </w:rPr>
    </w:lvl>
    <w:lvl w:ilvl="1" w:tplc="343C6F68">
      <w:numFmt w:val="bullet"/>
      <w:lvlText w:val=""/>
      <w:lvlJc w:val="left"/>
      <w:pPr>
        <w:ind w:left="969" w:hanging="140"/>
      </w:pPr>
      <w:rPr>
        <w:rFonts w:ascii="Symbol" w:eastAsia="Symbol" w:hAnsi="Symbol" w:cs="Symbol" w:hint="default"/>
        <w:spacing w:val="28"/>
        <w:w w:val="100"/>
        <w:sz w:val="24"/>
        <w:szCs w:val="24"/>
        <w:lang w:val="es-ES" w:eastAsia="es-ES" w:bidi="es-ES"/>
      </w:rPr>
    </w:lvl>
    <w:lvl w:ilvl="2" w:tplc="4B928E72">
      <w:numFmt w:val="bullet"/>
      <w:lvlText w:val="•"/>
      <w:lvlJc w:val="left"/>
      <w:pPr>
        <w:ind w:left="1814" w:hanging="140"/>
      </w:pPr>
      <w:rPr>
        <w:rFonts w:hint="default"/>
        <w:lang w:val="es-ES" w:eastAsia="es-ES" w:bidi="es-ES"/>
      </w:rPr>
    </w:lvl>
    <w:lvl w:ilvl="3" w:tplc="438E1A6E">
      <w:numFmt w:val="bullet"/>
      <w:lvlText w:val="•"/>
      <w:lvlJc w:val="left"/>
      <w:pPr>
        <w:ind w:left="2668" w:hanging="140"/>
      </w:pPr>
      <w:rPr>
        <w:rFonts w:hint="default"/>
        <w:lang w:val="es-ES" w:eastAsia="es-ES" w:bidi="es-ES"/>
      </w:rPr>
    </w:lvl>
    <w:lvl w:ilvl="4" w:tplc="696484EC">
      <w:numFmt w:val="bullet"/>
      <w:lvlText w:val="•"/>
      <w:lvlJc w:val="left"/>
      <w:pPr>
        <w:ind w:left="3522" w:hanging="140"/>
      </w:pPr>
      <w:rPr>
        <w:rFonts w:hint="default"/>
        <w:lang w:val="es-ES" w:eastAsia="es-ES" w:bidi="es-ES"/>
      </w:rPr>
    </w:lvl>
    <w:lvl w:ilvl="5" w:tplc="E6585532">
      <w:numFmt w:val="bullet"/>
      <w:lvlText w:val="•"/>
      <w:lvlJc w:val="left"/>
      <w:pPr>
        <w:ind w:left="4376" w:hanging="140"/>
      </w:pPr>
      <w:rPr>
        <w:rFonts w:hint="default"/>
        <w:lang w:val="es-ES" w:eastAsia="es-ES" w:bidi="es-ES"/>
      </w:rPr>
    </w:lvl>
    <w:lvl w:ilvl="6" w:tplc="DD301D96">
      <w:numFmt w:val="bullet"/>
      <w:lvlText w:val="•"/>
      <w:lvlJc w:val="left"/>
      <w:pPr>
        <w:ind w:left="5231" w:hanging="140"/>
      </w:pPr>
      <w:rPr>
        <w:rFonts w:hint="default"/>
        <w:lang w:val="es-ES" w:eastAsia="es-ES" w:bidi="es-ES"/>
      </w:rPr>
    </w:lvl>
    <w:lvl w:ilvl="7" w:tplc="44DC31FC">
      <w:numFmt w:val="bullet"/>
      <w:lvlText w:val="•"/>
      <w:lvlJc w:val="left"/>
      <w:pPr>
        <w:ind w:left="6085" w:hanging="140"/>
      </w:pPr>
      <w:rPr>
        <w:rFonts w:hint="default"/>
        <w:lang w:val="es-ES" w:eastAsia="es-ES" w:bidi="es-ES"/>
      </w:rPr>
    </w:lvl>
    <w:lvl w:ilvl="8" w:tplc="0DE8B8F6">
      <w:numFmt w:val="bullet"/>
      <w:lvlText w:val="•"/>
      <w:lvlJc w:val="left"/>
      <w:pPr>
        <w:ind w:left="6939" w:hanging="140"/>
      </w:pPr>
      <w:rPr>
        <w:rFonts w:hint="default"/>
        <w:lang w:val="es-ES" w:eastAsia="es-ES" w:bidi="es-ES"/>
      </w:rPr>
    </w:lvl>
  </w:abstractNum>
  <w:abstractNum w:abstractNumId="10" w15:restartNumberingAfterBreak="0">
    <w:nsid w:val="47D91E1D"/>
    <w:multiLevelType w:val="hybridMultilevel"/>
    <w:tmpl w:val="D07836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437F2"/>
    <w:multiLevelType w:val="hybridMultilevel"/>
    <w:tmpl w:val="0134A5CA"/>
    <w:lvl w:ilvl="0" w:tplc="E39ED052">
      <w:start w:val="1"/>
      <w:numFmt w:val="lowerLetter"/>
      <w:lvlText w:val="%1)"/>
      <w:lvlJc w:val="left"/>
      <w:pPr>
        <w:ind w:left="840" w:hanging="360"/>
      </w:pPr>
      <w:rPr>
        <w:rFonts w:ascii="Times New Roman" w:eastAsia="Times New Roman" w:hAnsi="Times New Roman" w:cs="Times New Roman" w:hint="default"/>
        <w:spacing w:val="-10"/>
        <w:w w:val="89"/>
        <w:sz w:val="24"/>
        <w:szCs w:val="24"/>
        <w:lang w:val="es-ES" w:eastAsia="es-ES" w:bidi="es-ES"/>
      </w:rPr>
    </w:lvl>
    <w:lvl w:ilvl="1" w:tplc="7D905C86">
      <w:numFmt w:val="bullet"/>
      <w:lvlText w:val="•"/>
      <w:lvlJc w:val="left"/>
      <w:pPr>
        <w:ind w:left="1620" w:hanging="360"/>
      </w:pPr>
      <w:rPr>
        <w:rFonts w:hint="default"/>
        <w:lang w:val="es-ES" w:eastAsia="es-ES" w:bidi="es-ES"/>
      </w:rPr>
    </w:lvl>
    <w:lvl w:ilvl="2" w:tplc="10366D66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6CB25162">
      <w:numFmt w:val="bullet"/>
      <w:lvlText w:val="•"/>
      <w:lvlJc w:val="left"/>
      <w:pPr>
        <w:ind w:left="3182" w:hanging="360"/>
      </w:pPr>
      <w:rPr>
        <w:rFonts w:hint="default"/>
        <w:lang w:val="es-ES" w:eastAsia="es-ES" w:bidi="es-ES"/>
      </w:rPr>
    </w:lvl>
    <w:lvl w:ilvl="4" w:tplc="9DCAEA22">
      <w:numFmt w:val="bullet"/>
      <w:lvlText w:val="•"/>
      <w:lvlJc w:val="left"/>
      <w:pPr>
        <w:ind w:left="3963" w:hanging="360"/>
      </w:pPr>
      <w:rPr>
        <w:rFonts w:hint="default"/>
        <w:lang w:val="es-ES" w:eastAsia="es-ES" w:bidi="es-ES"/>
      </w:rPr>
    </w:lvl>
    <w:lvl w:ilvl="5" w:tplc="9FDE794E">
      <w:numFmt w:val="bullet"/>
      <w:lvlText w:val="•"/>
      <w:lvlJc w:val="left"/>
      <w:pPr>
        <w:ind w:left="4744" w:hanging="360"/>
      </w:pPr>
      <w:rPr>
        <w:rFonts w:hint="default"/>
        <w:lang w:val="es-ES" w:eastAsia="es-ES" w:bidi="es-ES"/>
      </w:rPr>
    </w:lvl>
    <w:lvl w:ilvl="6" w:tplc="042C89C0">
      <w:numFmt w:val="bullet"/>
      <w:lvlText w:val="•"/>
      <w:lvlJc w:val="left"/>
      <w:pPr>
        <w:ind w:left="5524" w:hanging="360"/>
      </w:pPr>
      <w:rPr>
        <w:rFonts w:hint="default"/>
        <w:lang w:val="es-ES" w:eastAsia="es-ES" w:bidi="es-ES"/>
      </w:rPr>
    </w:lvl>
    <w:lvl w:ilvl="7" w:tplc="FD26669A">
      <w:numFmt w:val="bullet"/>
      <w:lvlText w:val="•"/>
      <w:lvlJc w:val="left"/>
      <w:pPr>
        <w:ind w:left="6305" w:hanging="360"/>
      </w:pPr>
      <w:rPr>
        <w:rFonts w:hint="default"/>
        <w:lang w:val="es-ES" w:eastAsia="es-ES" w:bidi="es-ES"/>
      </w:rPr>
    </w:lvl>
    <w:lvl w:ilvl="8" w:tplc="A31A8C5E">
      <w:numFmt w:val="bullet"/>
      <w:lvlText w:val="•"/>
      <w:lvlJc w:val="left"/>
      <w:pPr>
        <w:ind w:left="7086" w:hanging="360"/>
      </w:pPr>
      <w:rPr>
        <w:rFonts w:hint="default"/>
        <w:lang w:val="es-ES" w:eastAsia="es-ES" w:bidi="es-ES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7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10"/>
  </w:num>
  <w:num w:numId="10">
    <w:abstractNumId w:val="8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B57"/>
    <w:rsid w:val="000076FB"/>
    <w:rsid w:val="000345F3"/>
    <w:rsid w:val="000765DB"/>
    <w:rsid w:val="000776F7"/>
    <w:rsid w:val="000A4338"/>
    <w:rsid w:val="000B690E"/>
    <w:rsid w:val="000C5110"/>
    <w:rsid w:val="000E0214"/>
    <w:rsid w:val="0015672A"/>
    <w:rsid w:val="001820B7"/>
    <w:rsid w:val="001F7CC2"/>
    <w:rsid w:val="00207459"/>
    <w:rsid w:val="0022579C"/>
    <w:rsid w:val="00237D59"/>
    <w:rsid w:val="00240FEF"/>
    <w:rsid w:val="002D6C14"/>
    <w:rsid w:val="002E460E"/>
    <w:rsid w:val="002E6EB1"/>
    <w:rsid w:val="002F6972"/>
    <w:rsid w:val="00307EF7"/>
    <w:rsid w:val="00307FF6"/>
    <w:rsid w:val="0031520E"/>
    <w:rsid w:val="003340BA"/>
    <w:rsid w:val="00340C84"/>
    <w:rsid w:val="003432BE"/>
    <w:rsid w:val="003617B4"/>
    <w:rsid w:val="003F4482"/>
    <w:rsid w:val="00460AB0"/>
    <w:rsid w:val="004642C8"/>
    <w:rsid w:val="004820B5"/>
    <w:rsid w:val="004D2744"/>
    <w:rsid w:val="004E0DCE"/>
    <w:rsid w:val="00515AE3"/>
    <w:rsid w:val="00522C52"/>
    <w:rsid w:val="00550C55"/>
    <w:rsid w:val="00557E9E"/>
    <w:rsid w:val="00574BF5"/>
    <w:rsid w:val="00590359"/>
    <w:rsid w:val="005B6C50"/>
    <w:rsid w:val="005D7B84"/>
    <w:rsid w:val="005E59E7"/>
    <w:rsid w:val="005F6CB4"/>
    <w:rsid w:val="00606920"/>
    <w:rsid w:val="006401D7"/>
    <w:rsid w:val="00647500"/>
    <w:rsid w:val="00671B84"/>
    <w:rsid w:val="006E5A3E"/>
    <w:rsid w:val="007243E4"/>
    <w:rsid w:val="00733532"/>
    <w:rsid w:val="00782AD2"/>
    <w:rsid w:val="007C5E8B"/>
    <w:rsid w:val="007F01E5"/>
    <w:rsid w:val="00852242"/>
    <w:rsid w:val="00861C2D"/>
    <w:rsid w:val="00867157"/>
    <w:rsid w:val="0086755A"/>
    <w:rsid w:val="008703ED"/>
    <w:rsid w:val="008746D7"/>
    <w:rsid w:val="008F1E04"/>
    <w:rsid w:val="00941FEB"/>
    <w:rsid w:val="0094777C"/>
    <w:rsid w:val="00966921"/>
    <w:rsid w:val="009A5242"/>
    <w:rsid w:val="009A6C12"/>
    <w:rsid w:val="009D1410"/>
    <w:rsid w:val="00A54E06"/>
    <w:rsid w:val="00A618B9"/>
    <w:rsid w:val="00A82525"/>
    <w:rsid w:val="00B0192A"/>
    <w:rsid w:val="00B82D9C"/>
    <w:rsid w:val="00BB4D12"/>
    <w:rsid w:val="00BD0471"/>
    <w:rsid w:val="00BE7F06"/>
    <w:rsid w:val="00C0429A"/>
    <w:rsid w:val="00C51136"/>
    <w:rsid w:val="00C83C5A"/>
    <w:rsid w:val="00C95B57"/>
    <w:rsid w:val="00CF3476"/>
    <w:rsid w:val="00D44367"/>
    <w:rsid w:val="00D66EE0"/>
    <w:rsid w:val="00D82477"/>
    <w:rsid w:val="00DD1753"/>
    <w:rsid w:val="00DD4BD7"/>
    <w:rsid w:val="00DD591A"/>
    <w:rsid w:val="00DD6B99"/>
    <w:rsid w:val="00DF4D2B"/>
    <w:rsid w:val="00DF6944"/>
    <w:rsid w:val="00E04E89"/>
    <w:rsid w:val="00E61717"/>
    <w:rsid w:val="00F021B1"/>
    <w:rsid w:val="00F03BC1"/>
    <w:rsid w:val="00F125E2"/>
    <w:rsid w:val="00F14F9F"/>
    <w:rsid w:val="00F22C21"/>
    <w:rsid w:val="00F57E00"/>
    <w:rsid w:val="00FB7914"/>
    <w:rsid w:val="00FE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5FD24"/>
  <w15:docId w15:val="{DC26D3CA-E478-49C9-9A77-65B7FA04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69"/>
    </w:pPr>
  </w:style>
  <w:style w:type="character" w:styleId="Hipervnculo">
    <w:name w:val="Hyperlink"/>
    <w:basedOn w:val="Fuentedeprrafopredeter"/>
    <w:uiPriority w:val="99"/>
    <w:semiHidden/>
    <w:unhideWhenUsed/>
    <w:rsid w:val="00A825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3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x.doi.org/10.11144/javeriana.upsy16-4.df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1023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CHILE</vt:lpstr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CHILE</dc:title>
  <dc:creator>Rodrigo Asún</dc:creator>
  <cp:lastModifiedBy>Paula Flores Zuñiga</cp:lastModifiedBy>
  <cp:revision>3</cp:revision>
  <dcterms:created xsi:type="dcterms:W3CDTF">2019-06-11T18:10:00Z</dcterms:created>
  <dcterms:modified xsi:type="dcterms:W3CDTF">2019-06-12T14:01:00Z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2019-05-27T00:00:00Z</vt:filetime>
  </property>
</Properties>
</file>