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0C05C7" w14:textId="1713B9CF" w:rsidR="005F735E" w:rsidRDefault="005B77AB">
      <w:pPr>
        <w:rPr>
          <w:lang w:val="es-CL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5620F7E" wp14:editId="6342DC8B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344805" cy="739775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739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35E">
        <w:rPr>
          <w:lang w:val="es-CL"/>
        </w:rPr>
        <w:t xml:space="preserve">Universidad de Chile </w:t>
      </w:r>
    </w:p>
    <w:p w14:paraId="41467437" w14:textId="77777777" w:rsidR="005F735E" w:rsidRDefault="005F735E">
      <w:pPr>
        <w:rPr>
          <w:lang w:val="es-CL"/>
        </w:rPr>
      </w:pPr>
      <w:r>
        <w:rPr>
          <w:lang w:val="es-CL"/>
        </w:rPr>
        <w:t>Facultad de Ciencias Sociales</w:t>
      </w:r>
    </w:p>
    <w:p w14:paraId="46E5426A" w14:textId="77777777" w:rsidR="005F735E" w:rsidRDefault="005F735E">
      <w:pPr>
        <w:rPr>
          <w:lang w:val="es-CL"/>
        </w:rPr>
      </w:pPr>
      <w:r>
        <w:rPr>
          <w:lang w:val="es-CL"/>
        </w:rPr>
        <w:t>Departamento de Psicología</w:t>
      </w:r>
    </w:p>
    <w:p w14:paraId="6431AD94" w14:textId="77777777" w:rsidR="005F735E" w:rsidRDefault="005F735E">
      <w:pPr>
        <w:rPr>
          <w:b/>
          <w:lang w:val="es-CL"/>
        </w:rPr>
      </w:pPr>
      <w:r>
        <w:rPr>
          <w:lang w:val="es-CL"/>
        </w:rPr>
        <w:t>Carrera de Psicología</w:t>
      </w:r>
    </w:p>
    <w:p w14:paraId="60DCF522" w14:textId="77777777" w:rsidR="005F735E" w:rsidRDefault="005F735E">
      <w:pPr>
        <w:jc w:val="center"/>
        <w:rPr>
          <w:b/>
          <w:lang w:val="es-CL"/>
        </w:rPr>
      </w:pPr>
    </w:p>
    <w:p w14:paraId="17B5088C" w14:textId="77777777" w:rsidR="005F735E" w:rsidRDefault="005F735E">
      <w:pPr>
        <w:jc w:val="center"/>
        <w:rPr>
          <w:b/>
          <w:lang w:val="es-CL"/>
        </w:rPr>
      </w:pPr>
    </w:p>
    <w:p w14:paraId="1715AB9E" w14:textId="77777777" w:rsidR="005F735E" w:rsidRDefault="005F735E">
      <w:pPr>
        <w:jc w:val="center"/>
        <w:rPr>
          <w:b/>
          <w:lang w:val="es-CL"/>
        </w:rPr>
      </w:pPr>
    </w:p>
    <w:p w14:paraId="35658E30" w14:textId="77777777" w:rsidR="005F735E" w:rsidRDefault="005F735E">
      <w:pPr>
        <w:jc w:val="center"/>
        <w:rPr>
          <w:b/>
          <w:lang w:val="es-CL"/>
        </w:rPr>
      </w:pPr>
      <w:r>
        <w:rPr>
          <w:b/>
          <w:lang w:val="es-CL"/>
        </w:rPr>
        <w:t>PROGRAMA</w:t>
      </w:r>
    </w:p>
    <w:p w14:paraId="140C8D59" w14:textId="77777777" w:rsidR="00D93DF2" w:rsidRDefault="00977579">
      <w:pPr>
        <w:spacing w:before="120" w:after="120"/>
        <w:jc w:val="center"/>
        <w:rPr>
          <w:b/>
          <w:lang w:val="es-CL"/>
        </w:rPr>
      </w:pPr>
      <w:r>
        <w:rPr>
          <w:b/>
          <w:lang w:val="es-CL"/>
        </w:rPr>
        <w:t>“</w:t>
      </w:r>
      <w:r w:rsidR="0053395E">
        <w:rPr>
          <w:b/>
          <w:lang w:val="es-CL"/>
        </w:rPr>
        <w:t xml:space="preserve">ANTECEDENTES DE LA </w:t>
      </w:r>
      <w:r w:rsidR="00E96851">
        <w:rPr>
          <w:b/>
          <w:lang w:val="es-CL"/>
        </w:rPr>
        <w:t>CRIMINALIDAD: EMPATÍA V/S PSICOPATÍA</w:t>
      </w:r>
      <w:r w:rsidR="0053395E">
        <w:rPr>
          <w:b/>
          <w:lang w:val="es-CL"/>
        </w:rPr>
        <w:t>”</w:t>
      </w:r>
      <w:r w:rsidR="008F6FD4">
        <w:rPr>
          <w:b/>
          <w:lang w:val="es-CL"/>
        </w:rPr>
        <w:t xml:space="preserve"> </w:t>
      </w:r>
    </w:p>
    <w:p w14:paraId="409754DE" w14:textId="77777777" w:rsidR="005F735E" w:rsidRDefault="005F735E">
      <w:pPr>
        <w:rPr>
          <w:lang w:val="es-CL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628"/>
        <w:gridCol w:w="6146"/>
      </w:tblGrid>
      <w:tr w:rsidR="005F735E" w14:paraId="1E7DE2B3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91B5" w14:textId="77777777" w:rsidR="005F735E" w:rsidRDefault="005F735E">
            <w:pPr>
              <w:snapToGrid w:val="0"/>
              <w:rPr>
                <w:b/>
                <w:lang w:val="es-CL"/>
              </w:rPr>
            </w:pPr>
          </w:p>
          <w:p w14:paraId="6CA5840C" w14:textId="77777777" w:rsidR="005F735E" w:rsidRDefault="005F735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I.- Identificación de la actividad curricular</w:t>
            </w:r>
          </w:p>
          <w:p w14:paraId="24C7C283" w14:textId="77777777" w:rsidR="005F735E" w:rsidRDefault="005F735E">
            <w:pPr>
              <w:rPr>
                <w:b/>
                <w:lang w:val="es-CL"/>
              </w:rPr>
            </w:pPr>
          </w:p>
        </w:tc>
      </w:tr>
      <w:tr w:rsidR="005F735E" w14:paraId="0F84A40F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E6EAEF6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573B0D93" w14:textId="77777777" w:rsidR="005F735E" w:rsidRDefault="005F735E">
            <w:r>
              <w:rPr>
                <w:lang w:val="es-CL"/>
              </w:rPr>
              <w:t>Psicología</w:t>
            </w:r>
          </w:p>
        </w:tc>
      </w:tr>
      <w:tr w:rsidR="005F735E" w14:paraId="756BB95F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6E969D40" w14:textId="77777777" w:rsidR="005F735E" w:rsidRDefault="005F735E">
            <w:r>
              <w:rPr>
                <w:lang w:val="es-CL"/>
              </w:rPr>
              <w:t>Profesor o equipo: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231B9D3C" w14:textId="77777777" w:rsidR="005F735E" w:rsidRDefault="005F735E">
            <w:r>
              <w:t>Rodrigo Landabur</w:t>
            </w:r>
          </w:p>
        </w:tc>
      </w:tr>
      <w:tr w:rsidR="005F735E" w14:paraId="72F28C46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40B362A7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3CDC854C" w14:textId="77777777" w:rsidR="005F735E" w:rsidRDefault="005F735E">
            <w:r>
              <w:rPr>
                <w:lang w:val="es-CL"/>
              </w:rPr>
              <w:t>Especialización</w:t>
            </w:r>
          </w:p>
        </w:tc>
      </w:tr>
      <w:tr w:rsidR="005F735E" w14:paraId="015AA5D7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DFC4733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32444D6A" w14:textId="2031BBDE" w:rsidR="005F735E" w:rsidRDefault="00E76D9A">
            <w:r>
              <w:rPr>
                <w:lang w:val="es-CL"/>
              </w:rPr>
              <w:t>8</w:t>
            </w:r>
            <w:r w:rsidR="005F735E">
              <w:rPr>
                <w:lang w:val="es-CL"/>
              </w:rPr>
              <w:t>°</w:t>
            </w:r>
          </w:p>
        </w:tc>
      </w:tr>
      <w:tr w:rsidR="005F735E" w14:paraId="34467FDE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0D98E3C7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3D670563" w14:textId="77777777" w:rsidR="005F735E" w:rsidRDefault="005F735E">
            <w:r>
              <w:rPr>
                <w:lang w:val="es-CL"/>
              </w:rPr>
              <w:t xml:space="preserve">Presencial. </w:t>
            </w:r>
            <w:r w:rsidR="00AD2479">
              <w:rPr>
                <w:lang w:val="es-CL"/>
              </w:rPr>
              <w:t>Martes</w:t>
            </w:r>
            <w:r w:rsidR="00842B1D">
              <w:rPr>
                <w:lang w:val="es-CL"/>
              </w:rPr>
              <w:t xml:space="preserve"> 1</w:t>
            </w:r>
            <w:r w:rsidR="00AD2479">
              <w:rPr>
                <w:lang w:val="es-CL"/>
              </w:rPr>
              <w:t>0</w:t>
            </w:r>
            <w:r w:rsidR="00842B1D">
              <w:rPr>
                <w:lang w:val="es-CL"/>
              </w:rPr>
              <w:t>:</w:t>
            </w:r>
            <w:r w:rsidR="00AD2479">
              <w:rPr>
                <w:lang w:val="es-CL"/>
              </w:rPr>
              <w:t>15</w:t>
            </w:r>
            <w:r w:rsidR="00842B1D">
              <w:rPr>
                <w:lang w:val="es-CL"/>
              </w:rPr>
              <w:t xml:space="preserve"> – 1</w:t>
            </w:r>
            <w:r w:rsidR="00AD2479">
              <w:rPr>
                <w:lang w:val="es-CL"/>
              </w:rPr>
              <w:t>3:30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hrs</w:t>
            </w:r>
            <w:proofErr w:type="spellEnd"/>
            <w:r>
              <w:rPr>
                <w:lang w:val="es-CL"/>
              </w:rPr>
              <w:t>.</w:t>
            </w:r>
          </w:p>
        </w:tc>
      </w:tr>
      <w:tr w:rsidR="005F735E" w14:paraId="0FE1FA0A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0FA4422A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2B8B08EB" w14:textId="77777777" w:rsidR="005F735E" w:rsidRDefault="005F735E">
            <w:r>
              <w:rPr>
                <w:lang w:val="es-CL"/>
              </w:rPr>
              <w:t>Optativo</w:t>
            </w:r>
          </w:p>
        </w:tc>
      </w:tr>
      <w:tr w:rsidR="005F735E" w14:paraId="4412BBE3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6B41FCDD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Pre - requisitos: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5D8EA311" w14:textId="77777777" w:rsidR="005F735E" w:rsidRDefault="005F735E"/>
        </w:tc>
      </w:tr>
      <w:tr w:rsidR="005F735E" w14:paraId="1E528038" w14:textId="77777777">
        <w:trPr>
          <w:trHeight w:val="283"/>
        </w:trPr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1DBEBED8" w14:textId="77777777" w:rsidR="005F735E" w:rsidRDefault="005F735E">
            <w:pPr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146" w:type="dxa"/>
            <w:tcBorders>
              <w:right w:val="single" w:sz="4" w:space="0" w:color="000000"/>
            </w:tcBorders>
            <w:shd w:val="clear" w:color="auto" w:fill="auto"/>
          </w:tcPr>
          <w:p w14:paraId="39AC33F8" w14:textId="77777777" w:rsidR="005F735E" w:rsidRDefault="006A1153">
            <w:r>
              <w:rPr>
                <w:lang w:val="es-CL"/>
              </w:rPr>
              <w:t>2019</w:t>
            </w:r>
          </w:p>
        </w:tc>
      </w:tr>
      <w:tr w:rsidR="005F735E" w14:paraId="49B0DD46" w14:textId="77777777">
        <w:trPr>
          <w:trHeight w:val="702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B6FD" w14:textId="77777777" w:rsidR="005F735E" w:rsidRDefault="005F735E">
            <w:pPr>
              <w:snapToGrid w:val="0"/>
              <w:rPr>
                <w:b/>
                <w:lang w:val="es-CL"/>
              </w:rPr>
            </w:pPr>
          </w:p>
          <w:p w14:paraId="4F31EF29" w14:textId="77777777" w:rsidR="005F735E" w:rsidRDefault="005F735E">
            <w:r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5F735E" w14:paraId="4D738886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970E" w14:textId="77777777" w:rsidR="005F735E" w:rsidRDefault="005F735E">
            <w:pPr>
              <w:snapToGrid w:val="0"/>
              <w:jc w:val="both"/>
            </w:pPr>
          </w:p>
          <w:p w14:paraId="3A20B8A5" w14:textId="77777777" w:rsidR="00A25599" w:rsidRDefault="005F735E">
            <w:pPr>
              <w:jc w:val="both"/>
            </w:pPr>
            <w:r>
              <w:t xml:space="preserve">El propósito del curso es entregar a los alumnos las herramientas conceptuales y capacidades de </w:t>
            </w:r>
            <w:r w:rsidR="00B66EA6">
              <w:t xml:space="preserve">análisis </w:t>
            </w:r>
            <w:r w:rsidR="00D214C8">
              <w:t xml:space="preserve">e investigación </w:t>
            </w:r>
            <w:r>
              <w:t>básicas para reflexionar sobre l</w:t>
            </w:r>
            <w:r w:rsidR="00F77F92">
              <w:t>os antecedentes de la criminalidad</w:t>
            </w:r>
            <w:r w:rsidR="00A25599">
              <w:t>. En especial se abordará el rol de la</w:t>
            </w:r>
            <w:r w:rsidR="00790FDE">
              <w:t xml:space="preserve"> empatía</w:t>
            </w:r>
            <w:r w:rsidR="00856066">
              <w:t xml:space="preserve"> en el desarrollo y desistimiento de la criminalidad, y en la comprensión de la </w:t>
            </w:r>
            <w:r w:rsidR="00790FDE">
              <w:t>psicopatía.</w:t>
            </w:r>
            <w:r w:rsidR="00A25599">
              <w:t xml:space="preserve"> </w:t>
            </w:r>
          </w:p>
          <w:p w14:paraId="14587380" w14:textId="77777777" w:rsidR="00A25599" w:rsidRDefault="00A25599">
            <w:pPr>
              <w:jc w:val="both"/>
            </w:pPr>
          </w:p>
          <w:p w14:paraId="2053BC03" w14:textId="77777777" w:rsidR="008E78ED" w:rsidRDefault="008E78ED">
            <w:pPr>
              <w:jc w:val="both"/>
            </w:pPr>
            <w:r>
              <w:t>El estudio de</w:t>
            </w:r>
            <w:r w:rsidR="00E519AF">
              <w:t xml:space="preserve"> los antecedentes </w:t>
            </w:r>
            <w:r w:rsidR="002749C7">
              <w:t>de la actividad criminal es de vital importancia para las políticas públicas</w:t>
            </w:r>
            <w:r w:rsidR="00E519AF">
              <w:t xml:space="preserve"> </w:t>
            </w:r>
            <w:r w:rsidR="006A7B76">
              <w:t xml:space="preserve">especialmente </w:t>
            </w:r>
            <w:r w:rsidR="00E519AF">
              <w:t>a nivel de prevención</w:t>
            </w:r>
            <w:r w:rsidR="006A7B76">
              <w:t xml:space="preserve">. Asimismo, el análisis del rol de la empatía en el desarrollo de la </w:t>
            </w:r>
            <w:proofErr w:type="gramStart"/>
            <w:r w:rsidR="006A7B76">
              <w:t>psicopatía,</w:t>
            </w:r>
            <w:proofErr w:type="gramEnd"/>
            <w:r w:rsidR="006A7B76">
              <w:t xml:space="preserve"> </w:t>
            </w:r>
            <w:r w:rsidR="00A5115B">
              <w:t xml:space="preserve">es relevante para la </w:t>
            </w:r>
            <w:r w:rsidR="00C439E1">
              <w:t xml:space="preserve">intervención </w:t>
            </w:r>
            <w:r w:rsidR="001F5BE5">
              <w:t xml:space="preserve">primaria </w:t>
            </w:r>
            <w:r w:rsidR="00C439E1">
              <w:t>en la comunidad en general</w:t>
            </w:r>
            <w:r w:rsidR="00A5115B">
              <w:t>,</w:t>
            </w:r>
            <w:r w:rsidR="00A011FE">
              <w:t xml:space="preserve"> en </w:t>
            </w:r>
            <w:proofErr w:type="spellStart"/>
            <w:r w:rsidR="00A011FE">
              <w:t>pos</w:t>
            </w:r>
            <w:proofErr w:type="spellEnd"/>
            <w:r w:rsidR="00A011FE">
              <w:t xml:space="preserve"> de una mejor convivencia social</w:t>
            </w:r>
            <w:r w:rsidR="00C439E1">
              <w:t xml:space="preserve">, y en contextos particulares como el penitenciario.  </w:t>
            </w:r>
            <w:r w:rsidR="006A7B76">
              <w:t xml:space="preserve"> </w:t>
            </w:r>
            <w:r w:rsidR="00E519AF">
              <w:t xml:space="preserve"> </w:t>
            </w:r>
            <w:r w:rsidR="002749C7">
              <w:t xml:space="preserve">  </w:t>
            </w:r>
          </w:p>
          <w:p w14:paraId="47606FA5" w14:textId="77777777" w:rsidR="008E78ED" w:rsidRDefault="008E78ED">
            <w:pPr>
              <w:jc w:val="both"/>
            </w:pPr>
          </w:p>
          <w:p w14:paraId="59A7DB64" w14:textId="77777777" w:rsidR="009D7A45" w:rsidRDefault="005F735E">
            <w:pPr>
              <w:jc w:val="both"/>
            </w:pPr>
            <w:r>
              <w:t>Los contenidos abordarán la</w:t>
            </w:r>
            <w:r w:rsidR="008A10F2">
              <w:t xml:space="preserve"> empatía y fusión de identidad </w:t>
            </w:r>
            <w:r w:rsidR="009F3A2B">
              <w:t xml:space="preserve">principalmente </w:t>
            </w:r>
            <w:r w:rsidR="008A10F2">
              <w:t>como antecedentes</w:t>
            </w:r>
            <w:r w:rsidR="009F3A2B">
              <w:t>, y en menor medida como factores de desistimiento,</w:t>
            </w:r>
            <w:r w:rsidR="008A10F2">
              <w:t xml:space="preserve"> de la actividad criminal</w:t>
            </w:r>
            <w:r w:rsidR="00AB1C85">
              <w:t xml:space="preserve">. </w:t>
            </w:r>
            <w:r w:rsidR="009D7A45">
              <w:t>En cuanto a la empatía, se analizará su rol en la comprensión de la psicopatía.</w:t>
            </w:r>
            <w:r w:rsidR="00AB1C85">
              <w:t xml:space="preserve"> Estos contenidos serán tratados desde una perspectiva teórica y práctica</w:t>
            </w:r>
            <w:r w:rsidR="000F7478">
              <w:t xml:space="preserve">, incluyendo una </w:t>
            </w:r>
            <w:r w:rsidR="00420403">
              <w:t>clase realizada por un psiquiatra de forma de tener la perspectiva de evaluación de una disciplina afín a la psicología.</w:t>
            </w:r>
          </w:p>
          <w:p w14:paraId="17986BFD" w14:textId="77777777" w:rsidR="00FD2478" w:rsidRPr="00106A44" w:rsidRDefault="00FD2478" w:rsidP="00BF7A31">
            <w:pPr>
              <w:jc w:val="both"/>
            </w:pPr>
          </w:p>
        </w:tc>
      </w:tr>
      <w:tr w:rsidR="005F735E" w14:paraId="6DC24FE4" w14:textId="77777777">
        <w:trPr>
          <w:trHeight w:val="720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5EAF" w14:textId="77777777" w:rsidR="005F735E" w:rsidRDefault="005F735E">
            <w:r>
              <w:rPr>
                <w:b/>
                <w:lang w:val="es-CL"/>
              </w:rPr>
              <w:t>III.- Objetivos de la actividad curricular</w:t>
            </w:r>
          </w:p>
        </w:tc>
      </w:tr>
      <w:tr w:rsidR="005F735E" w14:paraId="4312AFCC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C262" w14:textId="77777777" w:rsidR="005F735E" w:rsidRDefault="005F735E">
            <w:pPr>
              <w:spacing w:before="80"/>
              <w:jc w:val="both"/>
            </w:pPr>
            <w:r>
              <w:t>1.- General:</w:t>
            </w:r>
          </w:p>
          <w:p w14:paraId="0A50FA74" w14:textId="77777777" w:rsidR="009743E6" w:rsidRDefault="009743E6" w:rsidP="009743E6">
            <w:pPr>
              <w:jc w:val="both"/>
            </w:pPr>
            <w:r>
              <w:lastRenderedPageBreak/>
              <w:t xml:space="preserve">Reflexionar sobre </w:t>
            </w:r>
            <w:r w:rsidR="00631521">
              <w:t xml:space="preserve">los antecedentes de </w:t>
            </w:r>
            <w:r w:rsidR="00EB58ED">
              <w:t>l</w:t>
            </w:r>
            <w:r w:rsidR="00631521">
              <w:t>a criminalidad</w:t>
            </w:r>
            <w:r w:rsidR="004437C5">
              <w:t>, especialmente sobre el rol de la empatía en el desarrollo y desistimiento de la criminalidad, y en la comprensión de la psicopatía</w:t>
            </w:r>
            <w:r>
              <w:t xml:space="preserve">. </w:t>
            </w:r>
          </w:p>
          <w:p w14:paraId="5FA4E73D" w14:textId="77777777" w:rsidR="005F735E" w:rsidRDefault="005F735E">
            <w:pPr>
              <w:spacing w:before="80"/>
              <w:jc w:val="both"/>
              <w:rPr>
                <w:shd w:val="clear" w:color="auto" w:fill="FFFF00"/>
              </w:rPr>
            </w:pPr>
          </w:p>
          <w:p w14:paraId="54480AB7" w14:textId="77777777" w:rsidR="005F735E" w:rsidRDefault="005F735E">
            <w:pPr>
              <w:spacing w:before="80"/>
              <w:jc w:val="both"/>
            </w:pPr>
            <w:r>
              <w:t>2.- Específicos:</w:t>
            </w:r>
          </w:p>
          <w:p w14:paraId="6ACFFC79" w14:textId="77777777" w:rsidR="00A20F7E" w:rsidRDefault="00A20F7E">
            <w:pPr>
              <w:numPr>
                <w:ilvl w:val="0"/>
                <w:numId w:val="2"/>
              </w:numPr>
              <w:spacing w:before="80"/>
              <w:jc w:val="both"/>
            </w:pPr>
            <w:r>
              <w:t>Analizar la empatía y fusión de identidad como antecedentes de la actividad criminal.</w:t>
            </w:r>
          </w:p>
          <w:p w14:paraId="4815A0AC" w14:textId="77777777" w:rsidR="008429DE" w:rsidRDefault="00A20F7E">
            <w:pPr>
              <w:numPr>
                <w:ilvl w:val="0"/>
                <w:numId w:val="2"/>
              </w:numPr>
              <w:spacing w:before="80"/>
              <w:jc w:val="both"/>
            </w:pPr>
            <w:r>
              <w:t>Analizar el rol de la empatía en el desistimiento de la criminalidad.</w:t>
            </w:r>
          </w:p>
          <w:p w14:paraId="00C1C3ED" w14:textId="77777777" w:rsidR="005F735E" w:rsidRPr="008429DE" w:rsidRDefault="008429DE" w:rsidP="008429DE">
            <w:pPr>
              <w:numPr>
                <w:ilvl w:val="0"/>
                <w:numId w:val="2"/>
              </w:numPr>
              <w:spacing w:before="80"/>
              <w:jc w:val="both"/>
            </w:pPr>
            <w:r>
              <w:t>Analizar el rol de la empatía en la comprensión de la psicopatía.</w:t>
            </w:r>
          </w:p>
          <w:p w14:paraId="2485FB9E" w14:textId="77777777" w:rsidR="005F735E" w:rsidRDefault="005F735E">
            <w:pPr>
              <w:spacing w:before="80"/>
              <w:ind w:left="720"/>
              <w:jc w:val="both"/>
            </w:pPr>
          </w:p>
        </w:tc>
      </w:tr>
      <w:tr w:rsidR="005F735E" w14:paraId="20C1F486" w14:textId="77777777">
        <w:trPr>
          <w:trHeight w:val="1808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EA75" w14:textId="77777777" w:rsidR="005F735E" w:rsidRDefault="005F735E" w:rsidP="00861156">
            <w:pPr>
              <w:snapToGrid w:val="0"/>
              <w:jc w:val="both"/>
              <w:rPr>
                <w:b/>
                <w:lang w:val="es-CL"/>
              </w:rPr>
            </w:pPr>
          </w:p>
          <w:p w14:paraId="6EA55548" w14:textId="77777777" w:rsidR="00145D13" w:rsidRDefault="005F735E" w:rsidP="00145D1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IV.- Temáticas o contenidos de la actividad curricular</w:t>
            </w:r>
          </w:p>
          <w:p w14:paraId="57C58FA2" w14:textId="77777777" w:rsidR="005F735E" w:rsidRPr="00D312DB" w:rsidRDefault="008B4FBE" w:rsidP="00145D13">
            <w:pPr>
              <w:jc w:val="both"/>
              <w:rPr>
                <w:shd w:val="clear" w:color="auto" w:fill="FFFF00"/>
              </w:rPr>
            </w:pPr>
            <w:r>
              <w:t xml:space="preserve">  </w:t>
            </w:r>
          </w:p>
          <w:p w14:paraId="51242A05" w14:textId="77777777" w:rsidR="005F735E" w:rsidRDefault="005F735E" w:rsidP="0060264F">
            <w:pPr>
              <w:tabs>
                <w:tab w:val="left" w:pos="1710"/>
              </w:tabs>
              <w:spacing w:before="60"/>
              <w:jc w:val="both"/>
            </w:pPr>
            <w:r>
              <w:rPr>
                <w:b/>
                <w:bCs/>
              </w:rPr>
              <w:t>Unidad I</w:t>
            </w:r>
            <w:r w:rsidR="00431C1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235B98">
              <w:rPr>
                <w:b/>
                <w:bCs/>
              </w:rPr>
              <w:t xml:space="preserve">Antecedentes de </w:t>
            </w:r>
            <w:r w:rsidR="00601943">
              <w:rPr>
                <w:b/>
                <w:bCs/>
              </w:rPr>
              <w:t>la c</w:t>
            </w:r>
            <w:r w:rsidR="00CA297F">
              <w:rPr>
                <w:b/>
                <w:bCs/>
              </w:rPr>
              <w:t>riminalidad</w:t>
            </w:r>
            <w:r>
              <w:t xml:space="preserve">    </w:t>
            </w:r>
            <w:r w:rsidR="00601943">
              <w:t xml:space="preserve">                     </w:t>
            </w:r>
          </w:p>
          <w:p w14:paraId="736CD86E" w14:textId="77777777" w:rsidR="005F735E" w:rsidRDefault="005C159D" w:rsidP="005C159D">
            <w:pPr>
              <w:numPr>
                <w:ilvl w:val="0"/>
                <w:numId w:val="3"/>
              </w:numPr>
              <w:jc w:val="both"/>
            </w:pPr>
            <w:r w:rsidRPr="005C159D">
              <w:t>Empatía</w:t>
            </w:r>
            <w:r w:rsidR="00CA297F">
              <w:t xml:space="preserve"> y </w:t>
            </w:r>
            <w:r w:rsidRPr="005C159D">
              <w:t>c</w:t>
            </w:r>
            <w:r w:rsidR="00E347CC">
              <w:t>riminalidad</w:t>
            </w:r>
            <w:r w:rsidR="000C1FB0">
              <w:t>.</w:t>
            </w:r>
            <w:r w:rsidR="0067660A">
              <w:t xml:space="preserve">  </w:t>
            </w:r>
          </w:p>
          <w:p w14:paraId="31B7F344" w14:textId="77777777" w:rsidR="00C07AE8" w:rsidRPr="00F66BFE" w:rsidRDefault="00F66BFE" w:rsidP="00F66BFE">
            <w:pPr>
              <w:numPr>
                <w:ilvl w:val="0"/>
                <w:numId w:val="3"/>
              </w:numPr>
              <w:jc w:val="both"/>
            </w:pPr>
            <w:r>
              <w:t>Fusión de identidad y criminalidad.</w:t>
            </w:r>
          </w:p>
          <w:p w14:paraId="78FC428E" w14:textId="77777777" w:rsidR="005F735E" w:rsidRDefault="005F735E" w:rsidP="00861156">
            <w:pPr>
              <w:jc w:val="both"/>
              <w:rPr>
                <w:shd w:val="clear" w:color="auto" w:fill="FFFF00"/>
              </w:rPr>
            </w:pPr>
          </w:p>
          <w:p w14:paraId="00922D0A" w14:textId="77777777" w:rsidR="005F735E" w:rsidRPr="002F389A" w:rsidRDefault="00C23EEA" w:rsidP="00861156">
            <w:pPr>
              <w:tabs>
                <w:tab w:val="left" w:pos="1710"/>
              </w:tabs>
              <w:spacing w:before="60"/>
              <w:jc w:val="both"/>
              <w:rPr>
                <w:bCs/>
              </w:rPr>
            </w:pPr>
            <w:r>
              <w:rPr>
                <w:b/>
                <w:bCs/>
              </w:rPr>
              <w:t>Unidad II</w:t>
            </w:r>
            <w:r w:rsidR="00431C1A">
              <w:rPr>
                <w:b/>
                <w:bCs/>
              </w:rPr>
              <w:t>.</w:t>
            </w:r>
            <w:r w:rsidR="005F735E">
              <w:rPr>
                <w:b/>
                <w:bCs/>
              </w:rPr>
              <w:t xml:space="preserve"> </w:t>
            </w:r>
            <w:r w:rsidR="00755C54">
              <w:rPr>
                <w:b/>
                <w:bCs/>
              </w:rPr>
              <w:t xml:space="preserve">Tensión </w:t>
            </w:r>
            <w:r w:rsidR="003377FD">
              <w:rPr>
                <w:b/>
                <w:bCs/>
              </w:rPr>
              <w:t xml:space="preserve">empatía v/s </w:t>
            </w:r>
            <w:r w:rsidR="00755C54">
              <w:rPr>
                <w:b/>
                <w:bCs/>
              </w:rPr>
              <w:t>psicopatía</w:t>
            </w:r>
            <w:r w:rsidR="00E05771">
              <w:rPr>
                <w:b/>
                <w:bCs/>
              </w:rPr>
              <w:t xml:space="preserve">  </w:t>
            </w:r>
            <w:r w:rsidR="00E05771" w:rsidRPr="002F389A">
              <w:rPr>
                <w:bCs/>
              </w:rPr>
              <w:t xml:space="preserve">  </w:t>
            </w:r>
          </w:p>
          <w:p w14:paraId="02D67808" w14:textId="77777777" w:rsidR="008751FD" w:rsidRDefault="00C453CA" w:rsidP="000C0923">
            <w:pPr>
              <w:numPr>
                <w:ilvl w:val="0"/>
                <w:numId w:val="6"/>
              </w:numPr>
              <w:tabs>
                <w:tab w:val="left" w:pos="1710"/>
              </w:tabs>
              <w:spacing w:before="60"/>
              <w:jc w:val="both"/>
            </w:pPr>
            <w:r>
              <w:t xml:space="preserve">  </w:t>
            </w:r>
            <w:r w:rsidR="008751FD">
              <w:t>Psicopatía y criminalidad.</w:t>
            </w:r>
          </w:p>
          <w:p w14:paraId="78C78280" w14:textId="77777777" w:rsidR="00693851" w:rsidRDefault="00C453CA" w:rsidP="000C0923">
            <w:pPr>
              <w:numPr>
                <w:ilvl w:val="0"/>
                <w:numId w:val="6"/>
              </w:numPr>
              <w:tabs>
                <w:tab w:val="left" w:pos="1710"/>
              </w:tabs>
              <w:spacing w:before="60"/>
              <w:jc w:val="both"/>
            </w:pPr>
            <w:r>
              <w:t xml:space="preserve">  </w:t>
            </w:r>
            <w:r w:rsidR="008751FD">
              <w:t xml:space="preserve">Estudio en </w:t>
            </w:r>
            <w:r w:rsidR="00235B98">
              <w:t>Psicopatía</w:t>
            </w:r>
            <w:r w:rsidR="008751FD">
              <w:t>.</w:t>
            </w:r>
            <w:r w:rsidR="005D39F4">
              <w:t xml:space="preserve"> </w:t>
            </w:r>
          </w:p>
          <w:p w14:paraId="18E66BAA" w14:textId="77777777" w:rsidR="00573043" w:rsidRDefault="00C453CA" w:rsidP="000C0923">
            <w:pPr>
              <w:numPr>
                <w:ilvl w:val="0"/>
                <w:numId w:val="6"/>
              </w:numPr>
              <w:tabs>
                <w:tab w:val="left" w:pos="1710"/>
              </w:tabs>
              <w:spacing w:before="60"/>
              <w:jc w:val="both"/>
            </w:pPr>
            <w:r>
              <w:t xml:space="preserve">  </w:t>
            </w:r>
            <w:r w:rsidR="00D45577">
              <w:t xml:space="preserve">Rol de la </w:t>
            </w:r>
            <w:r w:rsidR="005D39F4">
              <w:t>empatía</w:t>
            </w:r>
            <w:r w:rsidR="00D45577">
              <w:t xml:space="preserve"> en la psicopatía.</w:t>
            </w:r>
          </w:p>
          <w:p w14:paraId="5ABD06FD" w14:textId="77777777" w:rsidR="005F735E" w:rsidRDefault="00DE718E" w:rsidP="00573043">
            <w:pPr>
              <w:ind w:left="1860"/>
              <w:jc w:val="both"/>
            </w:pPr>
            <w:r>
              <w:t xml:space="preserve">                       </w:t>
            </w:r>
          </w:p>
        </w:tc>
      </w:tr>
      <w:tr w:rsidR="005F735E" w14:paraId="4C036A94" w14:textId="77777777">
        <w:trPr>
          <w:trHeight w:val="70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7FA3" w14:textId="77777777" w:rsidR="005F735E" w:rsidRDefault="005F735E">
            <w:pPr>
              <w:pStyle w:val="NormalWeb"/>
              <w:snapToGrid w:val="0"/>
              <w:spacing w:before="0" w:after="0"/>
            </w:pPr>
            <w:r>
              <w:rPr>
                <w:b/>
                <w:lang w:val="es-CL"/>
              </w:rPr>
              <w:t>V.- Metodología de la actividad curricular</w:t>
            </w:r>
          </w:p>
        </w:tc>
      </w:tr>
      <w:tr w:rsidR="005F735E" w14:paraId="6B716E95" w14:textId="77777777">
        <w:trPr>
          <w:trHeight w:val="740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8BDA" w14:textId="77777777" w:rsidR="005F735E" w:rsidRDefault="005F735E">
            <w:pPr>
              <w:pStyle w:val="Heading1"/>
              <w:snapToGrid w:val="0"/>
            </w:pPr>
          </w:p>
          <w:p w14:paraId="742E0D19" w14:textId="0675CBC7" w:rsidR="00D51D42" w:rsidRDefault="000B590A" w:rsidP="00552F73">
            <w:pPr>
              <w:jc w:val="both"/>
            </w:pPr>
            <w:r>
              <w:t xml:space="preserve">El foco de las clases estará en la discusión con los estudiantes tras la exposición de los conceptos y aspectos fundamentales de las diferentes temáticas del curso. También se desarrollarán actividades </w:t>
            </w:r>
            <w:r w:rsidR="005F735E">
              <w:t xml:space="preserve">prácticas organizadas en grupos, donde </w:t>
            </w:r>
            <w:r w:rsidR="007B0A10">
              <w:t>trabajarán en la preparación de las actividades evaluadas (Debate y Trabajo de investigación).</w:t>
            </w:r>
            <w:r>
              <w:t xml:space="preserve"> </w:t>
            </w:r>
            <w:r w:rsidR="00D51D42">
              <w:t xml:space="preserve"> </w:t>
            </w:r>
            <w:r w:rsidR="005F735E">
              <w:t xml:space="preserve"> </w:t>
            </w:r>
          </w:p>
          <w:p w14:paraId="25B96F4B" w14:textId="77777777" w:rsidR="00D51D42" w:rsidRDefault="00D51D42" w:rsidP="00552F73">
            <w:pPr>
              <w:jc w:val="both"/>
            </w:pPr>
          </w:p>
          <w:p w14:paraId="55EF69C9" w14:textId="25ECEEA4" w:rsidR="009669C8" w:rsidRDefault="005858DC" w:rsidP="00552F73">
            <w:pPr>
              <w:jc w:val="both"/>
            </w:pPr>
            <w:r>
              <w:t xml:space="preserve">La </w:t>
            </w:r>
            <w:r w:rsidR="000A5EF1">
              <w:t xml:space="preserve">clase </w:t>
            </w:r>
            <w:r w:rsidR="00432F5E">
              <w:t xml:space="preserve">sobre </w:t>
            </w:r>
            <w:r>
              <w:t xml:space="preserve">el origen y desarrollo de la psicopatía </w:t>
            </w:r>
            <w:r w:rsidR="000A5EF1">
              <w:t>será realizada por un psiquiatra que trabaja con personas derivadas por el siste</w:t>
            </w:r>
            <w:r w:rsidR="00406B35">
              <w:t>m</w:t>
            </w:r>
            <w:r w:rsidR="000A5EF1">
              <w:t xml:space="preserve">a de justicia, de forma de </w:t>
            </w:r>
            <w:r w:rsidR="00FE25DF">
              <w:t xml:space="preserve">profundizar sobre </w:t>
            </w:r>
            <w:r w:rsidR="00432F5E">
              <w:t>este ámbito desde una</w:t>
            </w:r>
            <w:r w:rsidR="00537FB0">
              <w:t xml:space="preserve"> perspectiva</w:t>
            </w:r>
            <w:r w:rsidR="00432F5E">
              <w:t xml:space="preserve"> complementaria a la psicológica</w:t>
            </w:r>
            <w:r w:rsidR="00FE25DF">
              <w:t>.</w:t>
            </w:r>
            <w:r w:rsidR="00BC6CC5">
              <w:t xml:space="preserve">  </w:t>
            </w:r>
          </w:p>
          <w:p w14:paraId="5CBA202E" w14:textId="77777777" w:rsidR="005F735E" w:rsidRDefault="005F735E" w:rsidP="00444D38">
            <w:pPr>
              <w:jc w:val="both"/>
            </w:pPr>
          </w:p>
        </w:tc>
      </w:tr>
      <w:tr w:rsidR="005F735E" w14:paraId="5FB5672E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3D37" w14:textId="77777777" w:rsidR="005F735E" w:rsidRDefault="005F735E">
            <w:pPr>
              <w:snapToGrid w:val="0"/>
              <w:spacing w:before="120"/>
            </w:pPr>
            <w:r>
              <w:rPr>
                <w:b/>
                <w:lang w:val="es-ES_tradnl"/>
              </w:rPr>
              <w:t>VI.- Evaluación de la actividad curricular</w:t>
            </w:r>
          </w:p>
        </w:tc>
      </w:tr>
      <w:tr w:rsidR="005F735E" w14:paraId="14C9A327" w14:textId="77777777">
        <w:trPr>
          <w:trHeight w:val="638"/>
        </w:trPr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47D2" w14:textId="77777777" w:rsidR="005F735E" w:rsidRDefault="005F735E">
            <w:pPr>
              <w:snapToGrid w:val="0"/>
              <w:rPr>
                <w:b/>
                <w:shd w:val="clear" w:color="auto" w:fill="FFFF00"/>
                <w:lang w:val="es-CL"/>
              </w:rPr>
            </w:pPr>
          </w:p>
          <w:p w14:paraId="4F8423A5" w14:textId="77777777" w:rsidR="005F735E" w:rsidRPr="00E3213B" w:rsidRDefault="005F735E">
            <w:pPr>
              <w:snapToGrid w:val="0"/>
              <w:rPr>
                <w:lang w:val="es-CL"/>
              </w:rPr>
            </w:pPr>
            <w:r w:rsidRPr="00D018E3">
              <w:rPr>
                <w:lang w:val="es-CL"/>
              </w:rPr>
              <w:t xml:space="preserve">La evaluación </w:t>
            </w:r>
            <w:r w:rsidRPr="00E3213B">
              <w:rPr>
                <w:lang w:val="es-CL"/>
              </w:rPr>
              <w:t>considera:</w:t>
            </w:r>
          </w:p>
          <w:p w14:paraId="1B586169" w14:textId="6F74D7E0" w:rsidR="00D314D2" w:rsidRPr="00E3213B" w:rsidRDefault="005B77AB" w:rsidP="005B77AB">
            <w:pPr>
              <w:snapToGrid w:val="0"/>
              <w:rPr>
                <w:lang w:val="es-CL"/>
              </w:rPr>
            </w:pPr>
            <w:r w:rsidRPr="00E3213B">
              <w:rPr>
                <w:lang w:val="es-CL"/>
              </w:rPr>
              <w:t xml:space="preserve">a) </w:t>
            </w:r>
            <w:r w:rsidR="005831BB" w:rsidRPr="00E3213B">
              <w:rPr>
                <w:lang w:val="es-CL"/>
              </w:rPr>
              <w:t>Debate</w:t>
            </w:r>
            <w:r w:rsidR="00103DA4" w:rsidRPr="00E3213B">
              <w:rPr>
                <w:lang w:val="es-CL"/>
              </w:rPr>
              <w:t xml:space="preserve"> </w:t>
            </w:r>
            <w:r w:rsidR="003B421C" w:rsidRPr="00E3213B">
              <w:rPr>
                <w:lang w:val="es-CL"/>
              </w:rPr>
              <w:t>(</w:t>
            </w:r>
            <w:r w:rsidR="00944254" w:rsidRPr="00E3213B">
              <w:rPr>
                <w:lang w:val="es-CL"/>
              </w:rPr>
              <w:t>40</w:t>
            </w:r>
            <w:r w:rsidR="00CE200F" w:rsidRPr="00E3213B">
              <w:rPr>
                <w:lang w:val="es-CL"/>
              </w:rPr>
              <w:t>%)</w:t>
            </w:r>
            <w:r w:rsidRPr="00E3213B">
              <w:rPr>
                <w:lang w:val="es-CL"/>
              </w:rPr>
              <w:t>: proceso (10</w:t>
            </w:r>
            <w:proofErr w:type="gramStart"/>
            <w:r w:rsidRPr="00E3213B">
              <w:rPr>
                <w:lang w:val="es-CL"/>
              </w:rPr>
              <w:t>%)</w:t>
            </w:r>
            <w:r w:rsidR="00A13FC9">
              <w:rPr>
                <w:lang w:val="es-CL"/>
              </w:rPr>
              <w:t>*</w:t>
            </w:r>
            <w:proofErr w:type="gramEnd"/>
            <w:r w:rsidRPr="00E3213B">
              <w:rPr>
                <w:lang w:val="es-CL"/>
              </w:rPr>
              <w:t xml:space="preserve"> y debate (30%)</w:t>
            </w:r>
            <w:r w:rsidR="00A22573" w:rsidRPr="00E3213B">
              <w:rPr>
                <w:lang w:val="es-CL"/>
              </w:rPr>
              <w:t>.</w:t>
            </w:r>
          </w:p>
          <w:p w14:paraId="289DC546" w14:textId="77777777" w:rsidR="005B77AB" w:rsidRPr="00E3213B" w:rsidRDefault="005B77AB" w:rsidP="005B77AB">
            <w:pPr>
              <w:snapToGrid w:val="0"/>
              <w:rPr>
                <w:lang w:val="es-CL"/>
              </w:rPr>
            </w:pPr>
          </w:p>
          <w:p w14:paraId="7A47B0A4" w14:textId="77777777" w:rsidR="00860874" w:rsidRPr="00E3213B" w:rsidRDefault="00944254" w:rsidP="00860874">
            <w:pPr>
              <w:snapToGrid w:val="0"/>
              <w:jc w:val="both"/>
              <w:rPr>
                <w:lang w:val="es-CL"/>
              </w:rPr>
            </w:pPr>
            <w:r w:rsidRPr="00E3213B">
              <w:rPr>
                <w:lang w:val="es-CL"/>
              </w:rPr>
              <w:t>b</w:t>
            </w:r>
            <w:r w:rsidR="00CA3A80" w:rsidRPr="00E3213B">
              <w:rPr>
                <w:lang w:val="es-CL"/>
              </w:rPr>
              <w:t xml:space="preserve">) </w:t>
            </w:r>
            <w:r w:rsidR="00C77119" w:rsidRPr="00E3213B">
              <w:rPr>
                <w:lang w:val="es-CL"/>
              </w:rPr>
              <w:t>T</w:t>
            </w:r>
            <w:r w:rsidR="000B2034" w:rsidRPr="00E3213B">
              <w:rPr>
                <w:lang w:val="es-CL"/>
              </w:rPr>
              <w:t>rabajo de investigación en grupos</w:t>
            </w:r>
            <w:r w:rsidR="007D061C" w:rsidRPr="00E3213B">
              <w:rPr>
                <w:lang w:val="es-CL"/>
              </w:rPr>
              <w:t xml:space="preserve"> (</w:t>
            </w:r>
            <w:r w:rsidRPr="00E3213B">
              <w:rPr>
                <w:lang w:val="es-CL"/>
              </w:rPr>
              <w:t>6</w:t>
            </w:r>
            <w:r w:rsidR="007D061C" w:rsidRPr="00E3213B">
              <w:rPr>
                <w:lang w:val="es-CL"/>
              </w:rPr>
              <w:t>0%)</w:t>
            </w:r>
            <w:r w:rsidR="003A521E" w:rsidRPr="00E3213B">
              <w:rPr>
                <w:lang w:val="es-CL"/>
              </w:rPr>
              <w:t>:</w:t>
            </w:r>
            <w:r w:rsidR="003C4597" w:rsidRPr="00E3213B">
              <w:rPr>
                <w:lang w:val="es-CL"/>
              </w:rPr>
              <w:t xml:space="preserve"> </w:t>
            </w:r>
            <w:r w:rsidR="00860874" w:rsidRPr="00E3213B">
              <w:rPr>
                <w:lang w:val="es-CL"/>
              </w:rPr>
              <w:t>Proceso 10%</w:t>
            </w:r>
            <w:r w:rsidR="00860874">
              <w:rPr>
                <w:lang w:val="es-CL"/>
              </w:rPr>
              <w:t>*</w:t>
            </w:r>
            <w:r w:rsidR="00860874" w:rsidRPr="00E3213B">
              <w:rPr>
                <w:lang w:val="es-CL"/>
              </w:rPr>
              <w:t>. Primera entrega 15% y tercera entrega (35%)</w:t>
            </w:r>
          </w:p>
          <w:p w14:paraId="027C3952" w14:textId="7D92BE8B" w:rsidR="009C727A" w:rsidRPr="00E3213B" w:rsidRDefault="00D047FD" w:rsidP="00552F73">
            <w:pPr>
              <w:snapToGrid w:val="0"/>
              <w:jc w:val="both"/>
              <w:rPr>
                <w:lang w:val="es-CL"/>
              </w:rPr>
            </w:pPr>
            <w:r w:rsidRPr="00E3213B">
              <w:rPr>
                <w:lang w:val="es-CL"/>
              </w:rPr>
              <w:t>2</w:t>
            </w:r>
            <w:r w:rsidR="000610C9" w:rsidRPr="00E3213B">
              <w:rPr>
                <w:lang w:val="es-CL"/>
              </w:rPr>
              <w:t xml:space="preserve">0% </w:t>
            </w:r>
            <w:r w:rsidR="000A5613" w:rsidRPr="00E3213B">
              <w:rPr>
                <w:lang w:val="es-CL"/>
              </w:rPr>
              <w:t>primera entrega</w:t>
            </w:r>
            <w:r w:rsidR="000610C9" w:rsidRPr="00E3213B">
              <w:rPr>
                <w:lang w:val="es-CL"/>
              </w:rPr>
              <w:t xml:space="preserve">, segunda </w:t>
            </w:r>
            <w:r w:rsidR="003B421C" w:rsidRPr="00E3213B">
              <w:rPr>
                <w:lang w:val="es-CL"/>
              </w:rPr>
              <w:t>entrega (optativa, sin nota), y 4</w:t>
            </w:r>
            <w:r w:rsidR="000A5613" w:rsidRPr="00E3213B">
              <w:rPr>
                <w:lang w:val="es-CL"/>
              </w:rPr>
              <w:t>0</w:t>
            </w:r>
            <w:r w:rsidR="003C4597" w:rsidRPr="00E3213B">
              <w:rPr>
                <w:lang w:val="es-CL"/>
              </w:rPr>
              <w:t>%</w:t>
            </w:r>
            <w:r w:rsidR="00043A5D" w:rsidRPr="00E3213B">
              <w:rPr>
                <w:lang w:val="es-CL"/>
              </w:rPr>
              <w:t xml:space="preserve"> tercera (final).</w:t>
            </w:r>
            <w:r w:rsidR="00382366" w:rsidRPr="00E3213B">
              <w:rPr>
                <w:lang w:val="es-CL"/>
              </w:rPr>
              <w:t xml:space="preserve"> </w:t>
            </w:r>
          </w:p>
          <w:p w14:paraId="40318EBE" w14:textId="02288BB9" w:rsidR="00E42367" w:rsidRPr="00E3213B" w:rsidRDefault="00E42367" w:rsidP="00552F73">
            <w:pPr>
              <w:snapToGrid w:val="0"/>
              <w:jc w:val="both"/>
              <w:rPr>
                <w:lang w:val="es-CL"/>
              </w:rPr>
            </w:pPr>
          </w:p>
          <w:p w14:paraId="6884EB88" w14:textId="6FC7B3A0" w:rsidR="00374011" w:rsidRDefault="00374011" w:rsidP="00552F73">
            <w:pPr>
              <w:snapToGrid w:val="0"/>
              <w:jc w:val="both"/>
              <w:rPr>
                <w:lang w:val="es-CL"/>
              </w:rPr>
            </w:pPr>
            <w:r w:rsidRPr="00E3213B">
              <w:rPr>
                <w:lang w:val="es-CL"/>
              </w:rPr>
              <w:t xml:space="preserve">* </w:t>
            </w:r>
            <w:r w:rsidR="007B6FC8" w:rsidRPr="00E3213B">
              <w:rPr>
                <w:lang w:val="es-CL"/>
              </w:rPr>
              <w:t xml:space="preserve">Para tener una nota por </w:t>
            </w:r>
            <w:r w:rsidR="001B203E" w:rsidRPr="00E3213B">
              <w:rPr>
                <w:lang w:val="es-CL"/>
              </w:rPr>
              <w:t>e</w:t>
            </w:r>
            <w:r w:rsidR="003F0C77" w:rsidRPr="00E3213B">
              <w:rPr>
                <w:lang w:val="es-CL"/>
              </w:rPr>
              <w:t xml:space="preserve">l proceso </w:t>
            </w:r>
            <w:r w:rsidR="007B6FC8" w:rsidRPr="00E3213B">
              <w:rPr>
                <w:lang w:val="es-CL"/>
              </w:rPr>
              <w:t xml:space="preserve">hay que asistir al menos a </w:t>
            </w:r>
            <w:r w:rsidR="007C4025">
              <w:rPr>
                <w:lang w:val="es-CL"/>
              </w:rPr>
              <w:t>3</w:t>
            </w:r>
            <w:r w:rsidR="007B6FC8" w:rsidRPr="00E3213B">
              <w:rPr>
                <w:lang w:val="es-CL"/>
              </w:rPr>
              <w:t xml:space="preserve"> de las </w:t>
            </w:r>
            <w:r w:rsidR="007C4025">
              <w:rPr>
                <w:lang w:val="es-CL"/>
              </w:rPr>
              <w:t xml:space="preserve">4 </w:t>
            </w:r>
            <w:bookmarkStart w:id="0" w:name="_GoBack"/>
            <w:bookmarkEnd w:id="0"/>
            <w:r w:rsidR="007B6FC8" w:rsidRPr="00E3213B">
              <w:rPr>
                <w:lang w:val="es-CL"/>
              </w:rPr>
              <w:t>instancias de preparación.</w:t>
            </w:r>
          </w:p>
          <w:p w14:paraId="799D40D6" w14:textId="77777777" w:rsidR="003F0C77" w:rsidRDefault="003F0C77" w:rsidP="00552F73">
            <w:pPr>
              <w:snapToGrid w:val="0"/>
              <w:jc w:val="both"/>
              <w:rPr>
                <w:lang w:val="es-CL"/>
              </w:rPr>
            </w:pPr>
          </w:p>
          <w:p w14:paraId="0097846D" w14:textId="77777777" w:rsidR="005F735E" w:rsidRDefault="005F735E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 xml:space="preserve">Se eximirá según Reglamento del Departamento (desde 5,5). </w:t>
            </w:r>
          </w:p>
          <w:p w14:paraId="4FC00697" w14:textId="77777777" w:rsidR="005F735E" w:rsidRDefault="005F735E">
            <w:pPr>
              <w:snapToGrid w:val="0"/>
              <w:rPr>
                <w:lang w:val="es-CL"/>
              </w:rPr>
            </w:pPr>
          </w:p>
        </w:tc>
      </w:tr>
      <w:tr w:rsidR="005F735E" w14:paraId="01E09AF1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DB5F" w14:textId="77777777" w:rsidR="005F735E" w:rsidRDefault="005F735E">
            <w:r>
              <w:rPr>
                <w:b/>
                <w:lang w:val="es-CL"/>
              </w:rPr>
              <w:lastRenderedPageBreak/>
              <w:t>VII.- Bibliografía básica y obligatoria de la actividad curricular</w:t>
            </w:r>
          </w:p>
        </w:tc>
      </w:tr>
      <w:tr w:rsidR="005F735E" w:rsidRPr="00AF1B34" w14:paraId="6EC65770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B158" w14:textId="77777777" w:rsidR="003509E7" w:rsidRDefault="003509E7" w:rsidP="008825D8">
            <w:pPr>
              <w:snapToGrid w:val="0"/>
              <w:spacing w:line="240" w:lineRule="atLeast"/>
              <w:jc w:val="both"/>
            </w:pPr>
          </w:p>
          <w:p w14:paraId="693453BC" w14:textId="77777777" w:rsidR="005D73D5" w:rsidRDefault="008544F9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  <w:r w:rsidRPr="008544F9">
              <w:rPr>
                <w:lang w:val="es-CL"/>
              </w:rPr>
              <w:t>Gómez, A., López-Rodríguez, L., Vázquez, A., Paredes, B., y Martínez, M. (2016). Morir y</w:t>
            </w:r>
            <w:r>
              <w:rPr>
                <w:lang w:val="es-CL"/>
              </w:rPr>
              <w:t xml:space="preserve"> </w:t>
            </w:r>
            <w:r w:rsidRPr="008544F9">
              <w:rPr>
                <w:lang w:val="es-CL"/>
              </w:rPr>
              <w:t xml:space="preserve">matar por un grupo o unos valores. Estrategias para </w:t>
            </w:r>
            <w:r>
              <w:rPr>
                <w:lang w:val="es-CL"/>
              </w:rPr>
              <w:t xml:space="preserve">evitar, reducir o erradicar el </w:t>
            </w:r>
            <w:r w:rsidRPr="008544F9">
              <w:rPr>
                <w:lang w:val="es-CL"/>
              </w:rPr>
              <w:t xml:space="preserve">comportamiento grupal extremista. </w:t>
            </w:r>
            <w:r w:rsidRPr="008544F9">
              <w:rPr>
                <w:i/>
                <w:lang w:val="es-CL"/>
              </w:rPr>
              <w:t>Anuario de Psicología Jurídica</w:t>
            </w:r>
            <w:r w:rsidRPr="008544F9">
              <w:rPr>
                <w:lang w:val="es-CL"/>
              </w:rPr>
              <w:t xml:space="preserve">, </w:t>
            </w:r>
            <w:r w:rsidRPr="008544F9">
              <w:rPr>
                <w:i/>
                <w:lang w:val="es-CL"/>
              </w:rPr>
              <w:t>26</w:t>
            </w:r>
            <w:r w:rsidRPr="008544F9">
              <w:rPr>
                <w:lang w:val="es-CL"/>
              </w:rPr>
              <w:t>, 122-129. doi</w:t>
            </w:r>
            <w:r>
              <w:rPr>
                <w:lang w:val="es-CL"/>
              </w:rPr>
              <w:t xml:space="preserve">: </w:t>
            </w:r>
            <w:r w:rsidRPr="008544F9">
              <w:rPr>
                <w:lang w:val="es-CL"/>
              </w:rPr>
              <w:t>10.1016/j.apj.2016.04.001.</w:t>
            </w:r>
          </w:p>
          <w:p w14:paraId="177D512E" w14:textId="77777777" w:rsidR="0035145E" w:rsidRDefault="0035145E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</w:p>
          <w:p w14:paraId="3DA00B2E" w14:textId="77777777" w:rsidR="0035145E" w:rsidRDefault="0035145E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  <w:r w:rsidRPr="0035145E">
              <w:rPr>
                <w:lang w:val="es-CL"/>
              </w:rPr>
              <w:t>H</w:t>
            </w:r>
            <w:r w:rsidR="009240F2">
              <w:rPr>
                <w:lang w:val="es-CL"/>
              </w:rPr>
              <w:t xml:space="preserve">uertas, O., </w:t>
            </w:r>
            <w:r>
              <w:rPr>
                <w:lang w:val="es-CL"/>
              </w:rPr>
              <w:t>D</w:t>
            </w:r>
            <w:r w:rsidR="009240F2">
              <w:rPr>
                <w:lang w:val="es-CL"/>
              </w:rPr>
              <w:t>íaz, M.,</w:t>
            </w:r>
            <w:r>
              <w:rPr>
                <w:lang w:val="es-CL"/>
              </w:rPr>
              <w:t xml:space="preserve"> &amp; </w:t>
            </w:r>
            <w:proofErr w:type="spellStart"/>
            <w:r w:rsidRPr="0035145E">
              <w:rPr>
                <w:lang w:val="es-CL"/>
              </w:rPr>
              <w:t>G</w:t>
            </w:r>
            <w:r>
              <w:rPr>
                <w:lang w:val="es-CL"/>
              </w:rPr>
              <w:t>ónzalez</w:t>
            </w:r>
            <w:proofErr w:type="spellEnd"/>
            <w:r w:rsidR="007D2F1E">
              <w:rPr>
                <w:lang w:val="es-CL"/>
              </w:rPr>
              <w:t>, J. (2016)</w:t>
            </w:r>
            <w:r w:rsidRPr="0035145E">
              <w:rPr>
                <w:lang w:val="es-CL"/>
              </w:rPr>
              <w:t xml:space="preserve">. David </w:t>
            </w:r>
            <w:proofErr w:type="spellStart"/>
            <w:r w:rsidRPr="0035145E">
              <w:rPr>
                <w:lang w:val="es-CL"/>
              </w:rPr>
              <w:t>Matza</w:t>
            </w:r>
            <w:proofErr w:type="spellEnd"/>
            <w:r w:rsidRPr="0035145E">
              <w:rPr>
                <w:lang w:val="es-CL"/>
              </w:rPr>
              <w:t>: perspectiva criminológica de la deriva</w:t>
            </w:r>
            <w:r w:rsidR="007D2F1E">
              <w:rPr>
                <w:lang w:val="es-CL"/>
              </w:rPr>
              <w:t xml:space="preserve"> a la delincuencia juvenil. </w:t>
            </w:r>
            <w:r w:rsidR="007D2F1E" w:rsidRPr="007D2F1E">
              <w:rPr>
                <w:i/>
                <w:lang w:val="es-CL"/>
              </w:rPr>
              <w:t>Revista</w:t>
            </w:r>
            <w:r w:rsidRPr="007D2F1E">
              <w:rPr>
                <w:i/>
                <w:lang w:val="es-CL"/>
              </w:rPr>
              <w:t xml:space="preserve"> Crim</w:t>
            </w:r>
            <w:r w:rsidR="007D2F1E" w:rsidRPr="007D2F1E">
              <w:rPr>
                <w:i/>
                <w:lang w:val="es-CL"/>
              </w:rPr>
              <w:t>inalidad</w:t>
            </w:r>
            <w:r w:rsidR="007D2F1E">
              <w:rPr>
                <w:lang w:val="es-CL"/>
              </w:rPr>
              <w:t xml:space="preserve">, </w:t>
            </w:r>
            <w:r w:rsidRPr="007D2F1E">
              <w:rPr>
                <w:i/>
                <w:lang w:val="es-CL"/>
              </w:rPr>
              <w:t>58</w:t>
            </w:r>
            <w:r w:rsidR="007D2F1E">
              <w:rPr>
                <w:lang w:val="es-CL"/>
              </w:rPr>
              <w:t>(</w:t>
            </w:r>
            <w:r w:rsidRPr="0035145E">
              <w:rPr>
                <w:lang w:val="es-CL"/>
              </w:rPr>
              <w:t>3</w:t>
            </w:r>
            <w:r w:rsidR="007D2F1E">
              <w:rPr>
                <w:lang w:val="es-CL"/>
              </w:rPr>
              <w:t>)</w:t>
            </w:r>
            <w:r w:rsidRPr="0035145E">
              <w:rPr>
                <w:lang w:val="es-CL"/>
              </w:rPr>
              <w:t>,</w:t>
            </w:r>
            <w:r w:rsidR="007D2F1E">
              <w:rPr>
                <w:lang w:val="es-CL"/>
              </w:rPr>
              <w:t xml:space="preserve"> </w:t>
            </w:r>
            <w:r w:rsidRPr="0035145E">
              <w:rPr>
                <w:lang w:val="es-CL"/>
              </w:rPr>
              <w:t>49-60</w:t>
            </w:r>
            <w:r>
              <w:rPr>
                <w:lang w:val="es-CL"/>
              </w:rPr>
              <w:t>.</w:t>
            </w:r>
          </w:p>
          <w:p w14:paraId="3FD9C9C3" w14:textId="77777777" w:rsidR="00CF2EEB" w:rsidRDefault="00CF2EEB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</w:p>
          <w:p w14:paraId="211E26D1" w14:textId="77777777" w:rsidR="00CF2EEB" w:rsidRDefault="00CF2EEB" w:rsidP="00CF2EEB">
            <w:pPr>
              <w:snapToGrid w:val="0"/>
              <w:spacing w:line="240" w:lineRule="atLeast"/>
              <w:jc w:val="both"/>
              <w:rPr>
                <w:lang w:val="es-CL"/>
              </w:rPr>
            </w:pPr>
            <w:r w:rsidRPr="00CF2EEB">
              <w:rPr>
                <w:lang w:val="es-CL"/>
              </w:rPr>
              <w:t>P</w:t>
            </w:r>
            <w:r w:rsidR="00C36037">
              <w:rPr>
                <w:lang w:val="es-CL"/>
              </w:rPr>
              <w:t>é</w:t>
            </w:r>
            <w:r w:rsidRPr="00CF2EEB">
              <w:rPr>
                <w:lang w:val="es-CL"/>
              </w:rPr>
              <w:t>rez-</w:t>
            </w:r>
            <w:proofErr w:type="spellStart"/>
            <w:r w:rsidRPr="00CF2EEB">
              <w:rPr>
                <w:lang w:val="es-CL"/>
              </w:rPr>
              <w:t>Albeniz</w:t>
            </w:r>
            <w:proofErr w:type="spellEnd"/>
            <w:r w:rsidRPr="00CF2EEB">
              <w:rPr>
                <w:lang w:val="es-CL"/>
              </w:rPr>
              <w:t>, A., de Paul, J., Etxebarria, J., Montes, M. P.</w:t>
            </w:r>
            <w:r>
              <w:rPr>
                <w:lang w:val="es-CL"/>
              </w:rPr>
              <w:t>, &amp; Torres, E. (2003). Adaptació</w:t>
            </w:r>
            <w:r w:rsidRPr="00CF2EEB">
              <w:rPr>
                <w:lang w:val="es-CL"/>
              </w:rPr>
              <w:t>n de</w:t>
            </w:r>
            <w:r>
              <w:rPr>
                <w:lang w:val="es-CL"/>
              </w:rPr>
              <w:t xml:space="preserve"> </w:t>
            </w:r>
            <w:r w:rsidRPr="00CF2EEB">
              <w:rPr>
                <w:lang w:val="es-CL"/>
              </w:rPr>
              <w:t xml:space="preserve">Interpersonal </w:t>
            </w:r>
            <w:proofErr w:type="spellStart"/>
            <w:r>
              <w:rPr>
                <w:lang w:val="es-CL"/>
              </w:rPr>
              <w:t>Reactivity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Index</w:t>
            </w:r>
            <w:proofErr w:type="spellEnd"/>
            <w:r>
              <w:rPr>
                <w:lang w:val="es-CL"/>
              </w:rPr>
              <w:t xml:space="preserve"> (IRI) al españ</w:t>
            </w:r>
            <w:r w:rsidRPr="00CF2EEB">
              <w:rPr>
                <w:lang w:val="es-CL"/>
              </w:rPr>
              <w:t xml:space="preserve">ol. </w:t>
            </w:r>
            <w:proofErr w:type="spellStart"/>
            <w:r w:rsidRPr="00CF2EEB">
              <w:rPr>
                <w:i/>
                <w:lang w:val="es-CL"/>
              </w:rPr>
              <w:t>Psichotema</w:t>
            </w:r>
            <w:proofErr w:type="spellEnd"/>
            <w:r>
              <w:rPr>
                <w:lang w:val="es-CL"/>
              </w:rPr>
              <w:t>,</w:t>
            </w:r>
            <w:r w:rsidRPr="00CF2EEB">
              <w:rPr>
                <w:lang w:val="es-CL"/>
              </w:rPr>
              <w:t xml:space="preserve"> </w:t>
            </w:r>
            <w:r w:rsidRPr="00CF2EEB">
              <w:rPr>
                <w:i/>
                <w:lang w:val="es-CL"/>
              </w:rPr>
              <w:t>15</w:t>
            </w:r>
            <w:r w:rsidRPr="00CF2EEB">
              <w:rPr>
                <w:lang w:val="es-CL"/>
              </w:rPr>
              <w:t>, 267</w:t>
            </w:r>
            <w:r>
              <w:rPr>
                <w:lang w:val="es-CL"/>
              </w:rPr>
              <w:t>-2</w:t>
            </w:r>
            <w:r w:rsidRPr="00CF2EEB">
              <w:rPr>
                <w:lang w:val="es-CL"/>
              </w:rPr>
              <w:t>72</w:t>
            </w:r>
            <w:r>
              <w:rPr>
                <w:lang w:val="es-CL"/>
              </w:rPr>
              <w:t>.</w:t>
            </w:r>
          </w:p>
          <w:p w14:paraId="1CC3E5C3" w14:textId="77777777" w:rsidR="00422602" w:rsidRDefault="00422602" w:rsidP="00CF2EEB">
            <w:pPr>
              <w:snapToGrid w:val="0"/>
              <w:spacing w:line="240" w:lineRule="atLeast"/>
              <w:jc w:val="both"/>
              <w:rPr>
                <w:lang w:val="es-CL"/>
              </w:rPr>
            </w:pPr>
          </w:p>
          <w:p w14:paraId="22522868" w14:textId="77777777" w:rsidR="00422602" w:rsidRPr="003824E0" w:rsidRDefault="00422602" w:rsidP="00422602">
            <w:pPr>
              <w:snapToGrid w:val="0"/>
              <w:spacing w:line="240" w:lineRule="atLeast"/>
              <w:jc w:val="both"/>
              <w:rPr>
                <w:lang w:val="es-CL"/>
              </w:rPr>
            </w:pPr>
            <w:r w:rsidRPr="003824E0">
              <w:rPr>
                <w:lang w:val="es-CL"/>
              </w:rPr>
              <w:t xml:space="preserve">Wynn, R., </w:t>
            </w:r>
            <w:proofErr w:type="spellStart"/>
            <w:r w:rsidRPr="003824E0">
              <w:rPr>
                <w:lang w:val="es-CL"/>
              </w:rPr>
              <w:t>Høiseth</w:t>
            </w:r>
            <w:proofErr w:type="spellEnd"/>
            <w:r w:rsidRPr="003824E0">
              <w:rPr>
                <w:lang w:val="es-CL"/>
              </w:rPr>
              <w:t xml:space="preserve">, M.H., &amp; </w:t>
            </w:r>
            <w:proofErr w:type="spellStart"/>
            <w:r w:rsidRPr="003824E0">
              <w:rPr>
                <w:lang w:val="es-CL"/>
              </w:rPr>
              <w:t>Pettersen</w:t>
            </w:r>
            <w:proofErr w:type="spellEnd"/>
            <w:r w:rsidRPr="003824E0">
              <w:rPr>
                <w:lang w:val="es-CL"/>
              </w:rPr>
              <w:t xml:space="preserve">, G. (2012). </w:t>
            </w:r>
            <w:r w:rsidRPr="00422602">
              <w:rPr>
                <w:lang w:val="en-US"/>
              </w:rPr>
              <w:t xml:space="preserve">Psychopathy in women: </w:t>
            </w:r>
            <w:r>
              <w:rPr>
                <w:lang w:val="en-US"/>
              </w:rPr>
              <w:t>T</w:t>
            </w:r>
            <w:r w:rsidRPr="00422602">
              <w:rPr>
                <w:lang w:val="en-US"/>
              </w:rPr>
              <w:t xml:space="preserve">heoretical and clinical perspectives. </w:t>
            </w:r>
            <w:r w:rsidRPr="003824E0">
              <w:rPr>
                <w:i/>
                <w:lang w:val="es-CL"/>
              </w:rPr>
              <w:t xml:space="preserve">International Journal of </w:t>
            </w:r>
            <w:proofErr w:type="spellStart"/>
            <w:r w:rsidRPr="003824E0">
              <w:rPr>
                <w:i/>
                <w:lang w:val="es-CL"/>
              </w:rPr>
              <w:t>Women's</w:t>
            </w:r>
            <w:proofErr w:type="spellEnd"/>
            <w:r w:rsidRPr="003824E0">
              <w:rPr>
                <w:i/>
                <w:lang w:val="es-CL"/>
              </w:rPr>
              <w:t xml:space="preserve"> </w:t>
            </w:r>
            <w:proofErr w:type="spellStart"/>
            <w:r w:rsidRPr="003824E0">
              <w:rPr>
                <w:i/>
                <w:lang w:val="es-CL"/>
              </w:rPr>
              <w:t>Health</w:t>
            </w:r>
            <w:proofErr w:type="spellEnd"/>
            <w:r w:rsidRPr="003824E0">
              <w:rPr>
                <w:lang w:val="es-CL"/>
              </w:rPr>
              <w:t xml:space="preserve">, </w:t>
            </w:r>
            <w:r w:rsidRPr="003824E0">
              <w:rPr>
                <w:i/>
                <w:lang w:val="es-CL"/>
              </w:rPr>
              <w:t>4</w:t>
            </w:r>
            <w:r w:rsidRPr="003824E0">
              <w:rPr>
                <w:lang w:val="es-CL"/>
              </w:rPr>
              <w:t>, 257–263</w:t>
            </w:r>
          </w:p>
          <w:p w14:paraId="44E4EAF5" w14:textId="77777777" w:rsidR="008544F9" w:rsidRPr="003824E0" w:rsidRDefault="008544F9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</w:p>
          <w:p w14:paraId="1D16964B" w14:textId="77777777" w:rsidR="005D73D5" w:rsidRPr="00AF1B34" w:rsidRDefault="00FB2C40" w:rsidP="00AF1B34">
            <w:pPr>
              <w:snapToGrid w:val="0"/>
              <w:spacing w:line="240" w:lineRule="atLeast"/>
              <w:jc w:val="both"/>
              <w:rPr>
                <w:lang w:val="es-CL"/>
              </w:rPr>
            </w:pPr>
            <w:r w:rsidRPr="00FB2C40">
              <w:rPr>
                <w:b/>
                <w:lang w:val="es-CL"/>
              </w:rPr>
              <w:t>Nota</w:t>
            </w:r>
            <w:r>
              <w:rPr>
                <w:lang w:val="es-CL"/>
              </w:rPr>
              <w:t xml:space="preserve">: </w:t>
            </w:r>
            <w:r w:rsidR="005D73D5">
              <w:rPr>
                <w:lang w:val="es-CL"/>
              </w:rPr>
              <w:t>El profesor proporcionará esta bibliografía a los estudiantes</w:t>
            </w:r>
            <w:r>
              <w:rPr>
                <w:lang w:val="es-CL"/>
              </w:rPr>
              <w:t>.</w:t>
            </w:r>
          </w:p>
          <w:p w14:paraId="06907432" w14:textId="77777777" w:rsidR="00721515" w:rsidRPr="00AF1B34" w:rsidRDefault="00721515" w:rsidP="008B31DC">
            <w:pPr>
              <w:snapToGrid w:val="0"/>
              <w:spacing w:line="240" w:lineRule="atLeast"/>
              <w:jc w:val="both"/>
              <w:rPr>
                <w:lang w:val="es-CL"/>
              </w:rPr>
            </w:pPr>
          </w:p>
        </w:tc>
      </w:tr>
      <w:tr w:rsidR="005F735E" w:rsidRPr="000A6EA3" w14:paraId="2CBDCC2B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4325" w14:textId="77777777" w:rsidR="005F735E" w:rsidRPr="000A6EA3" w:rsidRDefault="005F735E">
            <w:pPr>
              <w:pStyle w:val="Heading1"/>
            </w:pPr>
            <w:r w:rsidRPr="000A6EA3">
              <w:t>VIII.- Bibliografía complementaria</w:t>
            </w:r>
          </w:p>
        </w:tc>
      </w:tr>
      <w:tr w:rsidR="005F735E" w:rsidRPr="00A36F85" w14:paraId="79398FB5" w14:textId="77777777">
        <w:tc>
          <w:tcPr>
            <w:tcW w:w="8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4C6A" w14:textId="77777777" w:rsidR="005F735E" w:rsidRPr="000A6EA3" w:rsidRDefault="005F735E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</w:p>
          <w:p w14:paraId="3ED63A3A" w14:textId="77777777" w:rsidR="002E3754" w:rsidRDefault="004511C0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>
              <w:rPr>
                <w:lang w:val="es-CL"/>
              </w:rPr>
              <w:t>Ábalos C., Esquivel, N., y</w:t>
            </w:r>
            <w:r w:rsidR="002E3754" w:rsidRPr="002E3754">
              <w:rPr>
                <w:lang w:val="es-CL"/>
              </w:rPr>
              <w:t xml:space="preserve"> </w:t>
            </w:r>
            <w:proofErr w:type="spellStart"/>
            <w:r w:rsidR="002E3754" w:rsidRPr="002E3754">
              <w:rPr>
                <w:lang w:val="es-CL"/>
              </w:rPr>
              <w:t>Gallardo</w:t>
            </w:r>
            <w:proofErr w:type="spellEnd"/>
            <w:r w:rsidR="002E3754" w:rsidRPr="002E3754">
              <w:rPr>
                <w:lang w:val="es-CL"/>
              </w:rPr>
              <w:t xml:space="preserve">, C. (2004) Adaptación de la escala de </w:t>
            </w:r>
          </w:p>
          <w:p w14:paraId="3B8493FE" w14:textId="77777777" w:rsidR="005A775A" w:rsidRDefault="002E3754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2E3754">
              <w:rPr>
                <w:lang w:val="es-CL"/>
              </w:rPr>
              <w:t>calificación de la psicopatía revisada (</w:t>
            </w:r>
            <w:r w:rsidR="006E6638">
              <w:rPr>
                <w:lang w:val="es-CL"/>
              </w:rPr>
              <w:t>PCL-R</w:t>
            </w:r>
            <w:r w:rsidRPr="002E3754">
              <w:rPr>
                <w:lang w:val="es-CL"/>
              </w:rPr>
              <w:t>) de Robert Hare en población</w:t>
            </w:r>
            <w:r w:rsidR="000478D0">
              <w:rPr>
                <w:lang w:val="es-CL"/>
              </w:rPr>
              <w:t xml:space="preserve"> </w:t>
            </w:r>
          </w:p>
          <w:p w14:paraId="682E57B4" w14:textId="77777777" w:rsidR="005A775A" w:rsidRDefault="002E3754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2E3754">
              <w:rPr>
                <w:lang w:val="es-CL"/>
              </w:rPr>
              <w:t xml:space="preserve">reclusa del centro de detención preventiva de san miguel. Tesis para optar al </w:t>
            </w:r>
          </w:p>
          <w:p w14:paraId="54E78BD3" w14:textId="77777777" w:rsidR="002E3754" w:rsidRDefault="002E3754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2E3754">
              <w:rPr>
                <w:lang w:val="es-CL"/>
              </w:rPr>
              <w:t>título de psicólogo. Universidad de Chile.</w:t>
            </w:r>
          </w:p>
          <w:p w14:paraId="51EC0C05" w14:textId="77777777" w:rsidR="00463541" w:rsidRDefault="00463541" w:rsidP="00463541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</w:p>
          <w:p w14:paraId="67960B02" w14:textId="77777777" w:rsidR="00463541" w:rsidRDefault="00463541" w:rsidP="00463541">
            <w:pPr>
              <w:snapToGrid w:val="0"/>
              <w:ind w:left="1056" w:right="634" w:hanging="930"/>
              <w:jc w:val="both"/>
            </w:pPr>
            <w:r w:rsidRPr="00414DF5">
              <w:t xml:space="preserve">Fernández-Pinto, I., López-Pérez, B. y Márquez, M. (2008). Empatía: medidas, </w:t>
            </w:r>
          </w:p>
          <w:p w14:paraId="02313AD9" w14:textId="77777777" w:rsidR="00463541" w:rsidRPr="00463541" w:rsidRDefault="00463541" w:rsidP="00463541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414DF5">
              <w:t xml:space="preserve">teorías y aplicaciones en revisión. </w:t>
            </w:r>
            <w:r w:rsidRPr="00414DF5">
              <w:rPr>
                <w:i/>
              </w:rPr>
              <w:t>Anales de psicología</w:t>
            </w:r>
            <w:r w:rsidRPr="00414DF5">
              <w:t xml:space="preserve">, </w:t>
            </w:r>
            <w:r w:rsidRPr="00EB5B44">
              <w:rPr>
                <w:i/>
              </w:rPr>
              <w:t>24</w:t>
            </w:r>
            <w:r w:rsidRPr="00414DF5">
              <w:t>(2), 284-298.</w:t>
            </w:r>
          </w:p>
          <w:p w14:paraId="35AB589F" w14:textId="77777777" w:rsidR="00463541" w:rsidRDefault="00463541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</w:p>
          <w:p w14:paraId="097391AD" w14:textId="77777777" w:rsidR="00DD2556" w:rsidRPr="002E3754" w:rsidRDefault="00A530BE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2E3754">
              <w:rPr>
                <w:lang w:val="es-CL"/>
              </w:rPr>
              <w:t xml:space="preserve">Gómez, Á., Brooks, M., Buhrmester, M., Vázquez, A., Jetten, J., y Swann, W. </w:t>
            </w:r>
          </w:p>
          <w:p w14:paraId="31A85006" w14:textId="77777777" w:rsidR="00DD2556" w:rsidRDefault="00A530B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0610C9">
              <w:rPr>
                <w:lang w:val="en-US"/>
              </w:rPr>
              <w:t xml:space="preserve">(2011). </w:t>
            </w:r>
            <w:r w:rsidRPr="005044B2">
              <w:rPr>
                <w:lang w:val="en-US"/>
              </w:rPr>
              <w:t xml:space="preserve">On the nature of identity fusion: Insights into the construct and a new </w:t>
            </w:r>
          </w:p>
          <w:p w14:paraId="2112B62C" w14:textId="77777777" w:rsidR="00DD2556" w:rsidRDefault="00A530B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5044B2">
              <w:rPr>
                <w:lang w:val="en-US"/>
              </w:rPr>
              <w:t xml:space="preserve">measure. </w:t>
            </w:r>
            <w:r w:rsidRPr="005044B2">
              <w:rPr>
                <w:i/>
                <w:lang w:val="en-US"/>
              </w:rPr>
              <w:t>Journal of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ab/>
            </w:r>
            <w:r w:rsidRPr="005044B2">
              <w:rPr>
                <w:i/>
                <w:lang w:val="en-US"/>
              </w:rPr>
              <w:t>Personality and Social Psychology</w:t>
            </w:r>
            <w:r w:rsidRPr="005044B2">
              <w:rPr>
                <w:lang w:val="en-US"/>
              </w:rPr>
              <w:t xml:space="preserve">, </w:t>
            </w:r>
            <w:r w:rsidRPr="005044B2">
              <w:rPr>
                <w:i/>
                <w:lang w:val="en-US"/>
              </w:rPr>
              <w:t>100</w:t>
            </w:r>
            <w:r w:rsidRPr="005044B2">
              <w:rPr>
                <w:lang w:val="en-US"/>
              </w:rPr>
              <w:t>, 918–933. doi:</w:t>
            </w:r>
          </w:p>
          <w:p w14:paraId="65E36E1B" w14:textId="77777777" w:rsidR="00A530BE" w:rsidRDefault="00A530B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5044B2">
              <w:rPr>
                <w:lang w:val="en-US"/>
              </w:rPr>
              <w:t>10.1037/a0022642.</w:t>
            </w:r>
          </w:p>
          <w:p w14:paraId="6103DD85" w14:textId="77777777" w:rsidR="00DD2556" w:rsidRDefault="00DD2556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</w:p>
          <w:p w14:paraId="6C561DBE" w14:textId="77777777" w:rsidR="00DD2556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Hein, G., </w:t>
            </w:r>
            <w:proofErr w:type="spellStart"/>
            <w:r>
              <w:rPr>
                <w:lang w:val="en-US"/>
              </w:rPr>
              <w:t>Silani</w:t>
            </w:r>
            <w:proofErr w:type="spellEnd"/>
            <w:r>
              <w:rPr>
                <w:lang w:val="en-US"/>
              </w:rPr>
              <w:t xml:space="preserve">, G., </w:t>
            </w:r>
            <w:proofErr w:type="spellStart"/>
            <w:r>
              <w:rPr>
                <w:lang w:val="en-US"/>
              </w:rPr>
              <w:t>Preuschoff</w:t>
            </w:r>
            <w:proofErr w:type="spellEnd"/>
            <w:r>
              <w:rPr>
                <w:lang w:val="en-US"/>
              </w:rPr>
              <w:t xml:space="preserve">, K., Batson, C., y Singer, T. (2010). Neural </w:t>
            </w:r>
          </w:p>
          <w:p w14:paraId="3EBFE77A" w14:textId="77777777" w:rsidR="00DD2556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responses to ingroup and outgroup members’ suffering predict individual </w:t>
            </w:r>
          </w:p>
          <w:p w14:paraId="63200B0F" w14:textId="77777777" w:rsidR="00DD2556" w:rsidRPr="000610C9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differences in costly helping. </w:t>
            </w:r>
            <w:r w:rsidRPr="000610C9">
              <w:rPr>
                <w:i/>
                <w:lang w:val="en-US"/>
              </w:rPr>
              <w:t>Neuron</w:t>
            </w:r>
            <w:r w:rsidRPr="000610C9">
              <w:rPr>
                <w:lang w:val="en-US"/>
              </w:rPr>
              <w:t xml:space="preserve">, </w:t>
            </w:r>
            <w:r w:rsidRPr="000610C9">
              <w:rPr>
                <w:i/>
                <w:lang w:val="en-US"/>
              </w:rPr>
              <w:t>68</w:t>
            </w:r>
            <w:r w:rsidR="001425F9" w:rsidRPr="000610C9">
              <w:rPr>
                <w:lang w:val="en-US"/>
              </w:rPr>
              <w:t>, 149-160.</w:t>
            </w:r>
            <w:r w:rsidR="00474531" w:rsidRPr="000610C9">
              <w:rPr>
                <w:lang w:val="en-US"/>
              </w:rPr>
              <w:t xml:space="preserve"> doi: </w:t>
            </w:r>
          </w:p>
          <w:p w14:paraId="5F553330" w14:textId="77777777" w:rsidR="001425F9" w:rsidRPr="000610C9" w:rsidRDefault="00474531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0610C9">
              <w:rPr>
                <w:lang w:val="en-US"/>
              </w:rPr>
              <w:t>10.1016/j.neuron.2010.09.003.</w:t>
            </w:r>
          </w:p>
          <w:p w14:paraId="62999220" w14:textId="77777777" w:rsidR="00DD2556" w:rsidRDefault="00DD2556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</w:p>
          <w:p w14:paraId="3887BFB9" w14:textId="77777777" w:rsidR="00DD2556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Meffert</w:t>
            </w:r>
            <w:proofErr w:type="spellEnd"/>
            <w:r>
              <w:rPr>
                <w:lang w:val="en-US"/>
              </w:rPr>
              <w:t xml:space="preserve">, H., </w:t>
            </w:r>
            <w:proofErr w:type="spellStart"/>
            <w:r>
              <w:rPr>
                <w:lang w:val="en-US"/>
              </w:rPr>
              <w:t>Gazzola</w:t>
            </w:r>
            <w:proofErr w:type="spellEnd"/>
            <w:r>
              <w:rPr>
                <w:lang w:val="en-US"/>
              </w:rPr>
              <w:t xml:space="preserve">, V., Den Boer, J., Bartels, A., </w:t>
            </w:r>
            <w:r w:rsidR="004530AE">
              <w:rPr>
                <w:lang w:val="en-US"/>
              </w:rPr>
              <w:t>y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Keysers</w:t>
            </w:r>
            <w:proofErr w:type="spellEnd"/>
            <w:r>
              <w:rPr>
                <w:lang w:val="en-US"/>
              </w:rPr>
              <w:t xml:space="preserve">, C. (2013). </w:t>
            </w:r>
          </w:p>
          <w:p w14:paraId="4AD2FDD7" w14:textId="77777777" w:rsidR="00DD2556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Reduced spontaneous but relatively normal deliberate vicarious representations </w:t>
            </w:r>
          </w:p>
          <w:p w14:paraId="1B60EE95" w14:textId="77777777" w:rsidR="005F735E" w:rsidRPr="000610C9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 psychopathy. </w:t>
            </w:r>
            <w:r w:rsidRPr="000610C9">
              <w:rPr>
                <w:i/>
                <w:lang w:val="en-US"/>
              </w:rPr>
              <w:t>Brain</w:t>
            </w:r>
            <w:r w:rsidRPr="000610C9">
              <w:rPr>
                <w:lang w:val="en-US"/>
              </w:rPr>
              <w:t xml:space="preserve">, </w:t>
            </w:r>
            <w:r w:rsidRPr="000610C9">
              <w:rPr>
                <w:i/>
                <w:lang w:val="en-US"/>
              </w:rPr>
              <w:t>136</w:t>
            </w:r>
            <w:r w:rsidRPr="000610C9">
              <w:rPr>
                <w:lang w:val="en-US"/>
              </w:rPr>
              <w:t xml:space="preserve">, 2550–2562. </w:t>
            </w:r>
            <w:r w:rsidR="009B1D7E" w:rsidRPr="000610C9">
              <w:rPr>
                <w:lang w:val="en-US"/>
              </w:rPr>
              <w:t xml:space="preserve">doi: </w:t>
            </w:r>
            <w:r w:rsidRPr="000610C9">
              <w:rPr>
                <w:lang w:val="en-US"/>
              </w:rPr>
              <w:t>10.1093/brain/awt190.</w:t>
            </w:r>
          </w:p>
          <w:p w14:paraId="70AD9CEC" w14:textId="77777777" w:rsidR="00DD2556" w:rsidRPr="000610C9" w:rsidRDefault="00DD2556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</w:p>
          <w:p w14:paraId="4F69FEEC" w14:textId="77777777" w:rsidR="00D93249" w:rsidRDefault="00D93249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D93249">
              <w:t xml:space="preserve">Preston, S., y </w:t>
            </w:r>
            <w:proofErr w:type="spellStart"/>
            <w:r w:rsidRPr="00D93249">
              <w:t>Hofelich</w:t>
            </w:r>
            <w:proofErr w:type="spellEnd"/>
            <w:r w:rsidRPr="00D93249">
              <w:t xml:space="preserve">, A. (2012). </w:t>
            </w:r>
            <w:r w:rsidRPr="00D93249">
              <w:rPr>
                <w:lang w:val="en-US"/>
              </w:rPr>
              <w:t xml:space="preserve">The many faces of empathy: Parsing </w:t>
            </w:r>
          </w:p>
          <w:p w14:paraId="306580DF" w14:textId="77777777" w:rsidR="00D93249" w:rsidRDefault="00D93249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 w:rsidRPr="00D93249">
              <w:rPr>
                <w:lang w:val="en-US"/>
              </w:rPr>
              <w:t xml:space="preserve">empathic phenomena through a proximate, dynamic-systems view of </w:t>
            </w:r>
          </w:p>
          <w:p w14:paraId="410DBC62" w14:textId="77777777" w:rsidR="00D93249" w:rsidRDefault="00D93249">
            <w:pPr>
              <w:snapToGrid w:val="0"/>
              <w:ind w:left="1056" w:right="634" w:hanging="930"/>
              <w:jc w:val="both"/>
            </w:pPr>
            <w:r w:rsidRPr="00D93249">
              <w:rPr>
                <w:lang w:val="en-US"/>
              </w:rPr>
              <w:t xml:space="preserve">representing the other in the self. </w:t>
            </w:r>
            <w:proofErr w:type="spellStart"/>
            <w:r w:rsidRPr="00D93249">
              <w:t>Emotion</w:t>
            </w:r>
            <w:proofErr w:type="spellEnd"/>
            <w:r w:rsidRPr="00D93249">
              <w:t xml:space="preserve"> </w:t>
            </w:r>
            <w:proofErr w:type="spellStart"/>
            <w:r w:rsidRPr="00D93249">
              <w:t>Review</w:t>
            </w:r>
            <w:proofErr w:type="spellEnd"/>
            <w:r w:rsidRPr="00D93249">
              <w:t xml:space="preserve">, 20(10), 1-10. doi: </w:t>
            </w:r>
          </w:p>
          <w:p w14:paraId="4700DF7B" w14:textId="77777777" w:rsidR="00D93249" w:rsidRDefault="00D93249">
            <w:pPr>
              <w:snapToGrid w:val="0"/>
              <w:ind w:left="1056" w:right="634" w:hanging="930"/>
              <w:jc w:val="both"/>
            </w:pPr>
            <w:r w:rsidRPr="00D93249">
              <w:t>10.1177/1754073911421378.</w:t>
            </w:r>
          </w:p>
          <w:p w14:paraId="078A5066" w14:textId="77777777" w:rsidR="00D93249" w:rsidRDefault="00D93249">
            <w:pPr>
              <w:snapToGrid w:val="0"/>
              <w:ind w:left="1056" w:right="634" w:hanging="930"/>
              <w:jc w:val="both"/>
            </w:pPr>
          </w:p>
          <w:p w14:paraId="603AFCF2" w14:textId="77777777" w:rsidR="00DD2556" w:rsidRDefault="001E1F34">
            <w:pPr>
              <w:snapToGrid w:val="0"/>
              <w:ind w:left="1056" w:right="634" w:hanging="930"/>
              <w:jc w:val="both"/>
            </w:pPr>
            <w:r w:rsidRPr="009F6D10">
              <w:t>Sánchez-</w:t>
            </w:r>
            <w:proofErr w:type="spellStart"/>
            <w:r w:rsidRPr="009F6D10">
              <w:t>Queija</w:t>
            </w:r>
            <w:proofErr w:type="spellEnd"/>
            <w:r w:rsidRPr="009F6D10">
              <w:t xml:space="preserve">, I., Oliva, A., y Parra, A. (2006). Empatía y conducta prosocial </w:t>
            </w:r>
          </w:p>
          <w:p w14:paraId="5206A9FA" w14:textId="77777777" w:rsidR="00F70073" w:rsidRDefault="001E1F34">
            <w:pPr>
              <w:snapToGrid w:val="0"/>
              <w:ind w:left="1056" w:right="634" w:hanging="930"/>
              <w:jc w:val="both"/>
            </w:pPr>
            <w:r w:rsidRPr="009F6D10">
              <w:t xml:space="preserve">durante la adolescencia. </w:t>
            </w:r>
            <w:r w:rsidRPr="009F6D10">
              <w:rPr>
                <w:i/>
                <w:iCs/>
              </w:rPr>
              <w:t>Revista de Psicología Social</w:t>
            </w:r>
            <w:r w:rsidRPr="009F6D10">
              <w:t xml:space="preserve">, </w:t>
            </w:r>
            <w:r w:rsidRPr="009F6D10">
              <w:rPr>
                <w:i/>
                <w:iCs/>
              </w:rPr>
              <w:t>21</w:t>
            </w:r>
            <w:r w:rsidRPr="009F6D10">
              <w:t>(3), 259-271.</w:t>
            </w:r>
          </w:p>
          <w:p w14:paraId="64B3C265" w14:textId="77777777" w:rsidR="00DD2556" w:rsidRDefault="00DD2556">
            <w:pPr>
              <w:snapToGrid w:val="0"/>
              <w:ind w:left="1056" w:right="634" w:hanging="930"/>
              <w:jc w:val="both"/>
            </w:pPr>
          </w:p>
          <w:p w14:paraId="5F359014" w14:textId="77777777" w:rsidR="00DD2556" w:rsidRPr="000610C9" w:rsidRDefault="005F735E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0610C9">
              <w:rPr>
                <w:lang w:val="es-CL"/>
              </w:rPr>
              <w:lastRenderedPageBreak/>
              <w:t xml:space="preserve">Singer, T. Seymour, B., </w:t>
            </w:r>
            <w:proofErr w:type="spellStart"/>
            <w:r w:rsidRPr="000610C9">
              <w:rPr>
                <w:lang w:val="es-CL"/>
              </w:rPr>
              <w:t>O’Doherty</w:t>
            </w:r>
            <w:proofErr w:type="spellEnd"/>
            <w:r w:rsidRPr="000610C9">
              <w:rPr>
                <w:lang w:val="es-CL"/>
              </w:rPr>
              <w:t xml:space="preserve">, J., Stephan, K., Dolan, R. y Frith, C. (2006). </w:t>
            </w:r>
          </w:p>
          <w:p w14:paraId="24E544FB" w14:textId="77777777" w:rsidR="00DD2556" w:rsidRDefault="005F735E">
            <w:pPr>
              <w:snapToGrid w:val="0"/>
              <w:ind w:left="1056" w:right="634" w:hanging="93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Empathic neural responses are modulated by the perceived fairness of others. </w:t>
            </w:r>
          </w:p>
          <w:p w14:paraId="0A941260" w14:textId="77777777" w:rsidR="00F91561" w:rsidRPr="000610C9" w:rsidRDefault="005F735E" w:rsidP="00F91561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proofErr w:type="spellStart"/>
            <w:r w:rsidRPr="000610C9">
              <w:rPr>
                <w:i/>
                <w:lang w:val="es-CL"/>
              </w:rPr>
              <w:t>Nature</w:t>
            </w:r>
            <w:proofErr w:type="spellEnd"/>
            <w:r w:rsidRPr="000610C9">
              <w:rPr>
                <w:lang w:val="es-CL"/>
              </w:rPr>
              <w:t xml:space="preserve">, </w:t>
            </w:r>
            <w:r w:rsidRPr="000610C9">
              <w:rPr>
                <w:i/>
                <w:lang w:val="es-CL"/>
              </w:rPr>
              <w:t>439</w:t>
            </w:r>
            <w:r w:rsidR="003F3246" w:rsidRPr="000610C9">
              <w:rPr>
                <w:lang w:val="es-CL"/>
              </w:rPr>
              <w:t>(26), 466-469. doi: 10.1038/nature04271.</w:t>
            </w:r>
          </w:p>
          <w:p w14:paraId="6D91A166" w14:textId="77777777" w:rsidR="00F91561" w:rsidRDefault="00F91561" w:rsidP="00F91561">
            <w:pPr>
              <w:snapToGrid w:val="0"/>
              <w:ind w:left="1056" w:right="634" w:hanging="930"/>
              <w:jc w:val="both"/>
              <w:rPr>
                <w:color w:val="000000"/>
                <w:lang w:val="es-ES_tradnl"/>
              </w:rPr>
            </w:pPr>
          </w:p>
          <w:p w14:paraId="06E9AC8F" w14:textId="77777777" w:rsidR="00615EC0" w:rsidRDefault="00615EC0" w:rsidP="00F91561">
            <w:pPr>
              <w:snapToGrid w:val="0"/>
              <w:ind w:left="1056" w:right="634" w:hanging="930"/>
              <w:jc w:val="both"/>
              <w:rPr>
                <w:color w:val="000000"/>
                <w:lang w:val="es-ES_tradnl"/>
              </w:rPr>
            </w:pPr>
            <w:r w:rsidRPr="00615EC0">
              <w:rPr>
                <w:color w:val="000000"/>
                <w:lang w:val="es-ES_tradnl"/>
              </w:rPr>
              <w:t>Vaca, J.</w:t>
            </w:r>
            <w:r w:rsidR="004072FD">
              <w:rPr>
                <w:color w:val="000000"/>
                <w:lang w:val="es-ES_tradnl"/>
              </w:rPr>
              <w:t>,</w:t>
            </w:r>
            <w:r w:rsidRPr="00615EC0">
              <w:rPr>
                <w:color w:val="000000"/>
                <w:lang w:val="es-ES_tradnl"/>
              </w:rPr>
              <w:t xml:space="preserve"> y Dzib, P. (2012). </w:t>
            </w:r>
            <w:r w:rsidRPr="00580D79">
              <w:rPr>
                <w:i/>
                <w:color w:val="000000"/>
                <w:lang w:val="es-ES_tradnl"/>
              </w:rPr>
              <w:t>La máscara del asesino</w:t>
            </w:r>
            <w:r w:rsidRPr="00615EC0">
              <w:rPr>
                <w:color w:val="000000"/>
                <w:lang w:val="es-ES_tradnl"/>
              </w:rPr>
              <w:t xml:space="preserve">. Universidad Autónoma de </w:t>
            </w:r>
          </w:p>
          <w:p w14:paraId="4D8DB002" w14:textId="77777777" w:rsidR="00615EC0" w:rsidRDefault="00615EC0" w:rsidP="00F91561">
            <w:pPr>
              <w:snapToGrid w:val="0"/>
              <w:ind w:left="1056" w:right="634" w:hanging="930"/>
              <w:jc w:val="both"/>
              <w:rPr>
                <w:color w:val="000000"/>
                <w:lang w:val="es-ES_tradnl"/>
              </w:rPr>
            </w:pPr>
            <w:r w:rsidRPr="00615EC0">
              <w:rPr>
                <w:color w:val="000000"/>
                <w:lang w:val="es-ES_tradnl"/>
              </w:rPr>
              <w:t>Yucatán: México.</w:t>
            </w:r>
          </w:p>
          <w:p w14:paraId="4FA61032" w14:textId="77777777" w:rsidR="00615EC0" w:rsidRDefault="00615EC0" w:rsidP="00F91561">
            <w:pPr>
              <w:snapToGrid w:val="0"/>
              <w:ind w:left="1056" w:right="634" w:hanging="930"/>
              <w:jc w:val="both"/>
              <w:rPr>
                <w:color w:val="000000"/>
                <w:lang w:val="es-ES_tradnl"/>
              </w:rPr>
            </w:pPr>
          </w:p>
          <w:p w14:paraId="30C83557" w14:textId="77777777" w:rsidR="00F91561" w:rsidRDefault="00F91561" w:rsidP="00F91561">
            <w:pPr>
              <w:snapToGrid w:val="0"/>
              <w:ind w:left="1056" w:right="634" w:hanging="930"/>
              <w:jc w:val="both"/>
              <w:rPr>
                <w:color w:val="000000"/>
                <w:lang w:val="es-ES_tradnl"/>
              </w:rPr>
            </w:pPr>
            <w:r w:rsidRPr="00D92BFC">
              <w:rPr>
                <w:color w:val="000000"/>
                <w:lang w:val="es-ES_tradnl"/>
              </w:rPr>
              <w:t xml:space="preserve">Vinet, E. (2010). Psicopatía infanto-juvenil: avances en conceptualización, </w:t>
            </w:r>
          </w:p>
          <w:p w14:paraId="0BB32905" w14:textId="77777777" w:rsidR="00F91561" w:rsidRPr="00A36F85" w:rsidRDefault="00F91561" w:rsidP="00F91561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  <w:r w:rsidRPr="00D92BFC">
              <w:rPr>
                <w:color w:val="000000"/>
                <w:lang w:val="es-ES_tradnl"/>
              </w:rPr>
              <w:t xml:space="preserve">evaluación e intervención. </w:t>
            </w:r>
            <w:r w:rsidRPr="00A36F85">
              <w:rPr>
                <w:i/>
                <w:iCs/>
                <w:color w:val="000000"/>
                <w:lang w:val="es-CL"/>
              </w:rPr>
              <w:t>Terapia psicológica</w:t>
            </w:r>
            <w:r w:rsidRPr="00A36F85">
              <w:rPr>
                <w:color w:val="000000"/>
                <w:lang w:val="es-CL"/>
              </w:rPr>
              <w:t xml:space="preserve">, </w:t>
            </w:r>
            <w:r w:rsidRPr="00A36F85">
              <w:rPr>
                <w:i/>
                <w:iCs/>
                <w:color w:val="000000"/>
                <w:lang w:val="es-CL"/>
              </w:rPr>
              <w:t>28</w:t>
            </w:r>
            <w:r w:rsidRPr="00A36F85">
              <w:rPr>
                <w:color w:val="000000"/>
                <w:lang w:val="es-CL"/>
              </w:rPr>
              <w:t>(1), 109-118.</w:t>
            </w:r>
          </w:p>
          <w:p w14:paraId="73395332" w14:textId="77777777" w:rsidR="005F735E" w:rsidRPr="00A36F85" w:rsidRDefault="005F735E" w:rsidP="00AA4C95">
            <w:pPr>
              <w:snapToGrid w:val="0"/>
              <w:ind w:left="1056" w:right="634" w:hanging="930"/>
              <w:jc w:val="both"/>
              <w:rPr>
                <w:lang w:val="es-CL"/>
              </w:rPr>
            </w:pPr>
          </w:p>
        </w:tc>
      </w:tr>
    </w:tbl>
    <w:p w14:paraId="304B1E59" w14:textId="77777777" w:rsidR="005F735E" w:rsidRPr="00A36F85" w:rsidRDefault="005F735E">
      <w:pPr>
        <w:rPr>
          <w:lang w:val="es-CL"/>
        </w:rPr>
      </w:pPr>
    </w:p>
    <w:p w14:paraId="4CD7FF18" w14:textId="77777777" w:rsidR="00F87470" w:rsidRPr="00A36F85" w:rsidRDefault="00F87470">
      <w:pPr>
        <w:rPr>
          <w:lang w:val="es-CL"/>
        </w:rPr>
      </w:pPr>
    </w:p>
    <w:sectPr w:rsidR="00F87470" w:rsidRPr="00A36F85">
      <w:pgSz w:w="11906" w:h="16838"/>
      <w:pgMar w:top="1417" w:right="1701" w:bottom="141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556A8" w14:textId="77777777" w:rsidR="00E5190D" w:rsidRDefault="00E5190D">
      <w:r>
        <w:separator/>
      </w:r>
    </w:p>
  </w:endnote>
  <w:endnote w:type="continuationSeparator" w:id="0">
    <w:p w14:paraId="1CECA615" w14:textId="77777777" w:rsidR="00E5190D" w:rsidRDefault="00E5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45BC" w14:textId="77777777" w:rsidR="00E5190D" w:rsidRDefault="00E5190D">
      <w:r>
        <w:separator/>
      </w:r>
    </w:p>
  </w:footnote>
  <w:footnote w:type="continuationSeparator" w:id="0">
    <w:p w14:paraId="5AFDB5FD" w14:textId="77777777" w:rsidR="00E5190D" w:rsidRDefault="00E5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 w:hint="default"/>
        <w:shd w:val="clear" w:color="auto" w:fill="FFFF00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shd w:val="clear" w:color="auto" w:fill="FFFF00"/>
      </w:rPr>
    </w:lvl>
  </w:abstractNum>
  <w:abstractNum w:abstractNumId="2" w15:restartNumberingAfterBreak="0">
    <w:nsid w:val="05193680"/>
    <w:multiLevelType w:val="hybridMultilevel"/>
    <w:tmpl w:val="46442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C58"/>
    <w:multiLevelType w:val="hybridMultilevel"/>
    <w:tmpl w:val="96DCDC12"/>
    <w:lvl w:ilvl="0" w:tplc="B358CD18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48560BF"/>
    <w:multiLevelType w:val="hybridMultilevel"/>
    <w:tmpl w:val="D522EFD8"/>
    <w:lvl w:ilvl="0" w:tplc="5296A6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867D3"/>
    <w:multiLevelType w:val="hybridMultilevel"/>
    <w:tmpl w:val="0BBEC932"/>
    <w:lvl w:ilvl="0" w:tplc="8DB8616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7BE7EB0"/>
    <w:multiLevelType w:val="hybridMultilevel"/>
    <w:tmpl w:val="BE06A486"/>
    <w:lvl w:ilvl="0" w:tplc="5658F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4D"/>
    <w:rsid w:val="00000AB4"/>
    <w:rsid w:val="000032C1"/>
    <w:rsid w:val="00006BF6"/>
    <w:rsid w:val="00024B1E"/>
    <w:rsid w:val="00030132"/>
    <w:rsid w:val="00030BE0"/>
    <w:rsid w:val="00035D8F"/>
    <w:rsid w:val="000414A2"/>
    <w:rsid w:val="00043699"/>
    <w:rsid w:val="00043A5D"/>
    <w:rsid w:val="0004681B"/>
    <w:rsid w:val="000478D0"/>
    <w:rsid w:val="00051D41"/>
    <w:rsid w:val="00052189"/>
    <w:rsid w:val="00052AD9"/>
    <w:rsid w:val="00055E15"/>
    <w:rsid w:val="000610C9"/>
    <w:rsid w:val="000651CD"/>
    <w:rsid w:val="000675CA"/>
    <w:rsid w:val="00070DE3"/>
    <w:rsid w:val="00076278"/>
    <w:rsid w:val="000816FB"/>
    <w:rsid w:val="000A3593"/>
    <w:rsid w:val="000A5613"/>
    <w:rsid w:val="000A5EF1"/>
    <w:rsid w:val="000A6EA3"/>
    <w:rsid w:val="000B1F9A"/>
    <w:rsid w:val="000B2034"/>
    <w:rsid w:val="000B2AE4"/>
    <w:rsid w:val="000B590A"/>
    <w:rsid w:val="000C0923"/>
    <w:rsid w:val="000C1CF8"/>
    <w:rsid w:val="000C1FB0"/>
    <w:rsid w:val="000D75F5"/>
    <w:rsid w:val="000E0412"/>
    <w:rsid w:val="000E3A68"/>
    <w:rsid w:val="000F1D78"/>
    <w:rsid w:val="000F229A"/>
    <w:rsid w:val="000F7478"/>
    <w:rsid w:val="00100516"/>
    <w:rsid w:val="00101A4B"/>
    <w:rsid w:val="00103DA4"/>
    <w:rsid w:val="00106A44"/>
    <w:rsid w:val="001144E5"/>
    <w:rsid w:val="001151A6"/>
    <w:rsid w:val="001155BF"/>
    <w:rsid w:val="0011665D"/>
    <w:rsid w:val="00117B08"/>
    <w:rsid w:val="001246E6"/>
    <w:rsid w:val="00131633"/>
    <w:rsid w:val="001350BD"/>
    <w:rsid w:val="00140FEF"/>
    <w:rsid w:val="001425F9"/>
    <w:rsid w:val="00145D13"/>
    <w:rsid w:val="00147526"/>
    <w:rsid w:val="001526DB"/>
    <w:rsid w:val="00161D25"/>
    <w:rsid w:val="0016200D"/>
    <w:rsid w:val="00163C78"/>
    <w:rsid w:val="001728F7"/>
    <w:rsid w:val="00174725"/>
    <w:rsid w:val="001748CD"/>
    <w:rsid w:val="00175B3C"/>
    <w:rsid w:val="001770D7"/>
    <w:rsid w:val="0018101D"/>
    <w:rsid w:val="00183D65"/>
    <w:rsid w:val="00186C4C"/>
    <w:rsid w:val="001878A6"/>
    <w:rsid w:val="00191D69"/>
    <w:rsid w:val="001A0932"/>
    <w:rsid w:val="001A10B2"/>
    <w:rsid w:val="001A3850"/>
    <w:rsid w:val="001B0AF4"/>
    <w:rsid w:val="001B203E"/>
    <w:rsid w:val="001B2F55"/>
    <w:rsid w:val="001B4C5F"/>
    <w:rsid w:val="001C32CC"/>
    <w:rsid w:val="001C334D"/>
    <w:rsid w:val="001C36B2"/>
    <w:rsid w:val="001C6CA3"/>
    <w:rsid w:val="001C6FC5"/>
    <w:rsid w:val="001D051A"/>
    <w:rsid w:val="001D0E4C"/>
    <w:rsid w:val="001D0EF0"/>
    <w:rsid w:val="001E0C67"/>
    <w:rsid w:val="001E1F34"/>
    <w:rsid w:val="001E2979"/>
    <w:rsid w:val="001F0C06"/>
    <w:rsid w:val="001F5BE5"/>
    <w:rsid w:val="00203199"/>
    <w:rsid w:val="00204E66"/>
    <w:rsid w:val="0020733E"/>
    <w:rsid w:val="00207EF4"/>
    <w:rsid w:val="00221C02"/>
    <w:rsid w:val="00225766"/>
    <w:rsid w:val="00235B98"/>
    <w:rsid w:val="00240C00"/>
    <w:rsid w:val="00242C8D"/>
    <w:rsid w:val="00247D9F"/>
    <w:rsid w:val="002525AA"/>
    <w:rsid w:val="002555F5"/>
    <w:rsid w:val="00255B9D"/>
    <w:rsid w:val="002641CF"/>
    <w:rsid w:val="002749C7"/>
    <w:rsid w:val="00280816"/>
    <w:rsid w:val="00284AF3"/>
    <w:rsid w:val="00297860"/>
    <w:rsid w:val="002A4121"/>
    <w:rsid w:val="002A4B9A"/>
    <w:rsid w:val="002A7732"/>
    <w:rsid w:val="002B5897"/>
    <w:rsid w:val="002C220D"/>
    <w:rsid w:val="002C3F5F"/>
    <w:rsid w:val="002C6ACD"/>
    <w:rsid w:val="002C76CF"/>
    <w:rsid w:val="002D4918"/>
    <w:rsid w:val="002D4C32"/>
    <w:rsid w:val="002D7DD2"/>
    <w:rsid w:val="002E2D49"/>
    <w:rsid w:val="002E2E37"/>
    <w:rsid w:val="002E3754"/>
    <w:rsid w:val="002F0C12"/>
    <w:rsid w:val="002F389A"/>
    <w:rsid w:val="002F5EA7"/>
    <w:rsid w:val="00301985"/>
    <w:rsid w:val="00303AE9"/>
    <w:rsid w:val="003068AA"/>
    <w:rsid w:val="00310A10"/>
    <w:rsid w:val="003141C3"/>
    <w:rsid w:val="00314907"/>
    <w:rsid w:val="00315745"/>
    <w:rsid w:val="00335221"/>
    <w:rsid w:val="003358D0"/>
    <w:rsid w:val="003377FD"/>
    <w:rsid w:val="003508AF"/>
    <w:rsid w:val="003508CA"/>
    <w:rsid w:val="003509E7"/>
    <w:rsid w:val="0035145E"/>
    <w:rsid w:val="00354146"/>
    <w:rsid w:val="00357540"/>
    <w:rsid w:val="00374011"/>
    <w:rsid w:val="00374243"/>
    <w:rsid w:val="00376565"/>
    <w:rsid w:val="00376769"/>
    <w:rsid w:val="00380319"/>
    <w:rsid w:val="00380C02"/>
    <w:rsid w:val="00380EDB"/>
    <w:rsid w:val="00382366"/>
    <w:rsid w:val="003824E0"/>
    <w:rsid w:val="0038388B"/>
    <w:rsid w:val="00383956"/>
    <w:rsid w:val="00385026"/>
    <w:rsid w:val="003854AC"/>
    <w:rsid w:val="00387E94"/>
    <w:rsid w:val="00392DB4"/>
    <w:rsid w:val="00394298"/>
    <w:rsid w:val="00394FA7"/>
    <w:rsid w:val="00395AD1"/>
    <w:rsid w:val="0039639D"/>
    <w:rsid w:val="00396775"/>
    <w:rsid w:val="003A3A1E"/>
    <w:rsid w:val="003A521E"/>
    <w:rsid w:val="003B421C"/>
    <w:rsid w:val="003B49DA"/>
    <w:rsid w:val="003B7B70"/>
    <w:rsid w:val="003C00E4"/>
    <w:rsid w:val="003C0694"/>
    <w:rsid w:val="003C1B8C"/>
    <w:rsid w:val="003C44F1"/>
    <w:rsid w:val="003C4597"/>
    <w:rsid w:val="003D0844"/>
    <w:rsid w:val="003D6115"/>
    <w:rsid w:val="003E138F"/>
    <w:rsid w:val="003E5E61"/>
    <w:rsid w:val="003E6DCC"/>
    <w:rsid w:val="003F0C77"/>
    <w:rsid w:val="003F2ABF"/>
    <w:rsid w:val="003F3246"/>
    <w:rsid w:val="003F593F"/>
    <w:rsid w:val="003F669F"/>
    <w:rsid w:val="00401F14"/>
    <w:rsid w:val="004054FE"/>
    <w:rsid w:val="00406B35"/>
    <w:rsid w:val="004072FD"/>
    <w:rsid w:val="004109CA"/>
    <w:rsid w:val="0041147F"/>
    <w:rsid w:val="0041278B"/>
    <w:rsid w:val="00413E37"/>
    <w:rsid w:val="004163B1"/>
    <w:rsid w:val="00417D4E"/>
    <w:rsid w:val="00420403"/>
    <w:rsid w:val="00422602"/>
    <w:rsid w:val="0043039C"/>
    <w:rsid w:val="00430FA5"/>
    <w:rsid w:val="00431B4E"/>
    <w:rsid w:val="00431C1A"/>
    <w:rsid w:val="00432F5E"/>
    <w:rsid w:val="00433A70"/>
    <w:rsid w:val="0044157F"/>
    <w:rsid w:val="00441C2E"/>
    <w:rsid w:val="00442414"/>
    <w:rsid w:val="004437C5"/>
    <w:rsid w:val="00443B26"/>
    <w:rsid w:val="00444D38"/>
    <w:rsid w:val="00445DCC"/>
    <w:rsid w:val="004511C0"/>
    <w:rsid w:val="00452292"/>
    <w:rsid w:val="004530AE"/>
    <w:rsid w:val="00453C60"/>
    <w:rsid w:val="00454709"/>
    <w:rsid w:val="00463541"/>
    <w:rsid w:val="0046542B"/>
    <w:rsid w:val="004730B2"/>
    <w:rsid w:val="004740D6"/>
    <w:rsid w:val="00474531"/>
    <w:rsid w:val="00485374"/>
    <w:rsid w:val="0048677C"/>
    <w:rsid w:val="00492DC1"/>
    <w:rsid w:val="00493399"/>
    <w:rsid w:val="004946ED"/>
    <w:rsid w:val="0049591B"/>
    <w:rsid w:val="00497B01"/>
    <w:rsid w:val="004A2795"/>
    <w:rsid w:val="004A3C5B"/>
    <w:rsid w:val="004A3F71"/>
    <w:rsid w:val="004A603F"/>
    <w:rsid w:val="004A648B"/>
    <w:rsid w:val="004B66B8"/>
    <w:rsid w:val="004C0236"/>
    <w:rsid w:val="004C1B45"/>
    <w:rsid w:val="004C2BE3"/>
    <w:rsid w:val="004D5771"/>
    <w:rsid w:val="004E0428"/>
    <w:rsid w:val="004E498E"/>
    <w:rsid w:val="004F358D"/>
    <w:rsid w:val="00500A8E"/>
    <w:rsid w:val="005019E3"/>
    <w:rsid w:val="00503084"/>
    <w:rsid w:val="00504B1E"/>
    <w:rsid w:val="005133CD"/>
    <w:rsid w:val="0051645C"/>
    <w:rsid w:val="0052047F"/>
    <w:rsid w:val="00525FEF"/>
    <w:rsid w:val="00527622"/>
    <w:rsid w:val="005306B1"/>
    <w:rsid w:val="00531113"/>
    <w:rsid w:val="0053395E"/>
    <w:rsid w:val="00537FB0"/>
    <w:rsid w:val="0054522E"/>
    <w:rsid w:val="00546489"/>
    <w:rsid w:val="00551DA5"/>
    <w:rsid w:val="00552F73"/>
    <w:rsid w:val="005556BF"/>
    <w:rsid w:val="00556466"/>
    <w:rsid w:val="00561C39"/>
    <w:rsid w:val="00571566"/>
    <w:rsid w:val="00573043"/>
    <w:rsid w:val="00580025"/>
    <w:rsid w:val="00580D79"/>
    <w:rsid w:val="005831BB"/>
    <w:rsid w:val="005858DC"/>
    <w:rsid w:val="005867AF"/>
    <w:rsid w:val="00586F46"/>
    <w:rsid w:val="00593B71"/>
    <w:rsid w:val="005A1309"/>
    <w:rsid w:val="005A18FB"/>
    <w:rsid w:val="005A3890"/>
    <w:rsid w:val="005A775A"/>
    <w:rsid w:val="005B0B3F"/>
    <w:rsid w:val="005B3FA1"/>
    <w:rsid w:val="005B77AB"/>
    <w:rsid w:val="005C05FB"/>
    <w:rsid w:val="005C0CFD"/>
    <w:rsid w:val="005C159D"/>
    <w:rsid w:val="005C30D8"/>
    <w:rsid w:val="005C3E67"/>
    <w:rsid w:val="005C7D73"/>
    <w:rsid w:val="005D0DA4"/>
    <w:rsid w:val="005D39F4"/>
    <w:rsid w:val="005D46E0"/>
    <w:rsid w:val="005D73D5"/>
    <w:rsid w:val="005E3B7B"/>
    <w:rsid w:val="005E7885"/>
    <w:rsid w:val="005F735E"/>
    <w:rsid w:val="006013D4"/>
    <w:rsid w:val="00601943"/>
    <w:rsid w:val="0060264F"/>
    <w:rsid w:val="00605EF4"/>
    <w:rsid w:val="006069E4"/>
    <w:rsid w:val="00607A25"/>
    <w:rsid w:val="0061095F"/>
    <w:rsid w:val="00615EC0"/>
    <w:rsid w:val="00616A28"/>
    <w:rsid w:val="00621459"/>
    <w:rsid w:val="0062310E"/>
    <w:rsid w:val="006239DA"/>
    <w:rsid w:val="00624825"/>
    <w:rsid w:val="00627417"/>
    <w:rsid w:val="00631521"/>
    <w:rsid w:val="00631B8E"/>
    <w:rsid w:val="00633ABB"/>
    <w:rsid w:val="00633BCF"/>
    <w:rsid w:val="00637256"/>
    <w:rsid w:val="0064375F"/>
    <w:rsid w:val="00644D3B"/>
    <w:rsid w:val="0064551C"/>
    <w:rsid w:val="006458FE"/>
    <w:rsid w:val="006519B4"/>
    <w:rsid w:val="006526E0"/>
    <w:rsid w:val="00661807"/>
    <w:rsid w:val="00661B05"/>
    <w:rsid w:val="00664DEC"/>
    <w:rsid w:val="0066533D"/>
    <w:rsid w:val="00667769"/>
    <w:rsid w:val="00670A73"/>
    <w:rsid w:val="0067572E"/>
    <w:rsid w:val="0067660A"/>
    <w:rsid w:val="00684B51"/>
    <w:rsid w:val="00692E33"/>
    <w:rsid w:val="006936D1"/>
    <w:rsid w:val="00693851"/>
    <w:rsid w:val="00695786"/>
    <w:rsid w:val="00697F83"/>
    <w:rsid w:val="006A1153"/>
    <w:rsid w:val="006A5368"/>
    <w:rsid w:val="006A5E29"/>
    <w:rsid w:val="006A7B76"/>
    <w:rsid w:val="006C5EFE"/>
    <w:rsid w:val="006C7939"/>
    <w:rsid w:val="006D2D09"/>
    <w:rsid w:val="006E0576"/>
    <w:rsid w:val="006E33F7"/>
    <w:rsid w:val="006E501D"/>
    <w:rsid w:val="006E6166"/>
    <w:rsid w:val="006E63C5"/>
    <w:rsid w:val="006E6638"/>
    <w:rsid w:val="006F198D"/>
    <w:rsid w:val="006F671F"/>
    <w:rsid w:val="006F773D"/>
    <w:rsid w:val="00700F1A"/>
    <w:rsid w:val="00703462"/>
    <w:rsid w:val="00703555"/>
    <w:rsid w:val="00705124"/>
    <w:rsid w:val="007143E5"/>
    <w:rsid w:val="00717451"/>
    <w:rsid w:val="00720F3E"/>
    <w:rsid w:val="00721515"/>
    <w:rsid w:val="00725F2A"/>
    <w:rsid w:val="007274AF"/>
    <w:rsid w:val="00736080"/>
    <w:rsid w:val="00747344"/>
    <w:rsid w:val="007538E9"/>
    <w:rsid w:val="0075399D"/>
    <w:rsid w:val="007546F5"/>
    <w:rsid w:val="00755C54"/>
    <w:rsid w:val="007571D5"/>
    <w:rsid w:val="00767C2F"/>
    <w:rsid w:val="00772B0D"/>
    <w:rsid w:val="007801D8"/>
    <w:rsid w:val="00790FDE"/>
    <w:rsid w:val="0079781E"/>
    <w:rsid w:val="007A642D"/>
    <w:rsid w:val="007A7F37"/>
    <w:rsid w:val="007B0A10"/>
    <w:rsid w:val="007B6FC8"/>
    <w:rsid w:val="007C1B43"/>
    <w:rsid w:val="007C32BD"/>
    <w:rsid w:val="007C4025"/>
    <w:rsid w:val="007C4B8F"/>
    <w:rsid w:val="007D061C"/>
    <w:rsid w:val="007D2F1E"/>
    <w:rsid w:val="007D2F94"/>
    <w:rsid w:val="007D3A36"/>
    <w:rsid w:val="007E06E9"/>
    <w:rsid w:val="007E3C18"/>
    <w:rsid w:val="007E3FC1"/>
    <w:rsid w:val="007E4BEA"/>
    <w:rsid w:val="007F2672"/>
    <w:rsid w:val="007F5AE7"/>
    <w:rsid w:val="0080282A"/>
    <w:rsid w:val="00813C79"/>
    <w:rsid w:val="00813E32"/>
    <w:rsid w:val="00817D04"/>
    <w:rsid w:val="0082667F"/>
    <w:rsid w:val="00827A8E"/>
    <w:rsid w:val="0083132E"/>
    <w:rsid w:val="0083139D"/>
    <w:rsid w:val="00832DE9"/>
    <w:rsid w:val="008348D7"/>
    <w:rsid w:val="00840EFC"/>
    <w:rsid w:val="008410D4"/>
    <w:rsid w:val="008429DE"/>
    <w:rsid w:val="00842A8A"/>
    <w:rsid w:val="00842B1D"/>
    <w:rsid w:val="0084499D"/>
    <w:rsid w:val="008512B8"/>
    <w:rsid w:val="008544F9"/>
    <w:rsid w:val="0085598F"/>
    <w:rsid w:val="00856066"/>
    <w:rsid w:val="00860874"/>
    <w:rsid w:val="00860F9B"/>
    <w:rsid w:val="00861156"/>
    <w:rsid w:val="00861F5B"/>
    <w:rsid w:val="00863A5A"/>
    <w:rsid w:val="00864286"/>
    <w:rsid w:val="008670AC"/>
    <w:rsid w:val="00873C33"/>
    <w:rsid w:val="00873C60"/>
    <w:rsid w:val="008751FD"/>
    <w:rsid w:val="00875D61"/>
    <w:rsid w:val="00880D9B"/>
    <w:rsid w:val="008825D8"/>
    <w:rsid w:val="008840F6"/>
    <w:rsid w:val="00887AC1"/>
    <w:rsid w:val="00894FB7"/>
    <w:rsid w:val="0089587A"/>
    <w:rsid w:val="008958E5"/>
    <w:rsid w:val="008978C6"/>
    <w:rsid w:val="008A10F2"/>
    <w:rsid w:val="008A3CFF"/>
    <w:rsid w:val="008A5B42"/>
    <w:rsid w:val="008B0ECA"/>
    <w:rsid w:val="008B31DC"/>
    <w:rsid w:val="008B3FFD"/>
    <w:rsid w:val="008B4FBE"/>
    <w:rsid w:val="008C1830"/>
    <w:rsid w:val="008D22E0"/>
    <w:rsid w:val="008E45D7"/>
    <w:rsid w:val="008E50FC"/>
    <w:rsid w:val="008E553B"/>
    <w:rsid w:val="008E78ED"/>
    <w:rsid w:val="008F4510"/>
    <w:rsid w:val="008F6FD4"/>
    <w:rsid w:val="0090533F"/>
    <w:rsid w:val="00906E87"/>
    <w:rsid w:val="00914D2B"/>
    <w:rsid w:val="00916F8E"/>
    <w:rsid w:val="00917124"/>
    <w:rsid w:val="009240F2"/>
    <w:rsid w:val="00944254"/>
    <w:rsid w:val="009455E7"/>
    <w:rsid w:val="009466FD"/>
    <w:rsid w:val="0095275A"/>
    <w:rsid w:val="00955757"/>
    <w:rsid w:val="00961FD3"/>
    <w:rsid w:val="0096247F"/>
    <w:rsid w:val="00962CCB"/>
    <w:rsid w:val="00963F43"/>
    <w:rsid w:val="009669C8"/>
    <w:rsid w:val="00966B3B"/>
    <w:rsid w:val="00967B71"/>
    <w:rsid w:val="009706AD"/>
    <w:rsid w:val="009743E6"/>
    <w:rsid w:val="009750EE"/>
    <w:rsid w:val="00977579"/>
    <w:rsid w:val="00990C60"/>
    <w:rsid w:val="00990D12"/>
    <w:rsid w:val="009910C0"/>
    <w:rsid w:val="00994B15"/>
    <w:rsid w:val="00995FE5"/>
    <w:rsid w:val="009B1D7E"/>
    <w:rsid w:val="009B41F2"/>
    <w:rsid w:val="009B5F61"/>
    <w:rsid w:val="009C1F06"/>
    <w:rsid w:val="009C727A"/>
    <w:rsid w:val="009D464D"/>
    <w:rsid w:val="009D5E17"/>
    <w:rsid w:val="009D7A45"/>
    <w:rsid w:val="009E17D3"/>
    <w:rsid w:val="009E1D30"/>
    <w:rsid w:val="009E6507"/>
    <w:rsid w:val="009F0F85"/>
    <w:rsid w:val="009F3A2B"/>
    <w:rsid w:val="009F6D10"/>
    <w:rsid w:val="00A011FE"/>
    <w:rsid w:val="00A06A1B"/>
    <w:rsid w:val="00A10748"/>
    <w:rsid w:val="00A11824"/>
    <w:rsid w:val="00A13C2F"/>
    <w:rsid w:val="00A13EB1"/>
    <w:rsid w:val="00A13FC9"/>
    <w:rsid w:val="00A20174"/>
    <w:rsid w:val="00A20F7E"/>
    <w:rsid w:val="00A22573"/>
    <w:rsid w:val="00A22A7B"/>
    <w:rsid w:val="00A25599"/>
    <w:rsid w:val="00A36F85"/>
    <w:rsid w:val="00A414C5"/>
    <w:rsid w:val="00A5115B"/>
    <w:rsid w:val="00A5272A"/>
    <w:rsid w:val="00A530BE"/>
    <w:rsid w:val="00A5379D"/>
    <w:rsid w:val="00A5649A"/>
    <w:rsid w:val="00A62E81"/>
    <w:rsid w:val="00A64E3C"/>
    <w:rsid w:val="00A661EA"/>
    <w:rsid w:val="00A67CD8"/>
    <w:rsid w:val="00A72D3B"/>
    <w:rsid w:val="00A736C2"/>
    <w:rsid w:val="00A74045"/>
    <w:rsid w:val="00A808CF"/>
    <w:rsid w:val="00A82A10"/>
    <w:rsid w:val="00A84390"/>
    <w:rsid w:val="00A9790B"/>
    <w:rsid w:val="00AA1CD5"/>
    <w:rsid w:val="00AA3CF3"/>
    <w:rsid w:val="00AA4C95"/>
    <w:rsid w:val="00AA7778"/>
    <w:rsid w:val="00AA7C5C"/>
    <w:rsid w:val="00AB1C85"/>
    <w:rsid w:val="00AB5D34"/>
    <w:rsid w:val="00AB5DAD"/>
    <w:rsid w:val="00AB7D54"/>
    <w:rsid w:val="00AC0732"/>
    <w:rsid w:val="00AC452C"/>
    <w:rsid w:val="00AC6542"/>
    <w:rsid w:val="00AD216A"/>
    <w:rsid w:val="00AD2479"/>
    <w:rsid w:val="00AD31D6"/>
    <w:rsid w:val="00AE2B6D"/>
    <w:rsid w:val="00AF1523"/>
    <w:rsid w:val="00AF1B34"/>
    <w:rsid w:val="00AF2992"/>
    <w:rsid w:val="00AF4AA3"/>
    <w:rsid w:val="00AF678F"/>
    <w:rsid w:val="00AF68C7"/>
    <w:rsid w:val="00B11249"/>
    <w:rsid w:val="00B1228C"/>
    <w:rsid w:val="00B14964"/>
    <w:rsid w:val="00B1715D"/>
    <w:rsid w:val="00B239E1"/>
    <w:rsid w:val="00B4045F"/>
    <w:rsid w:val="00B421D9"/>
    <w:rsid w:val="00B42D90"/>
    <w:rsid w:val="00B537FA"/>
    <w:rsid w:val="00B6431C"/>
    <w:rsid w:val="00B64707"/>
    <w:rsid w:val="00B66EA6"/>
    <w:rsid w:val="00B67BF0"/>
    <w:rsid w:val="00B766E6"/>
    <w:rsid w:val="00B8157E"/>
    <w:rsid w:val="00B8305A"/>
    <w:rsid w:val="00B84A4A"/>
    <w:rsid w:val="00B86F0B"/>
    <w:rsid w:val="00B87160"/>
    <w:rsid w:val="00B90560"/>
    <w:rsid w:val="00B96077"/>
    <w:rsid w:val="00B96429"/>
    <w:rsid w:val="00BA1F3A"/>
    <w:rsid w:val="00BA6AB6"/>
    <w:rsid w:val="00BB15AE"/>
    <w:rsid w:val="00BB6CC7"/>
    <w:rsid w:val="00BC064B"/>
    <w:rsid w:val="00BC26BB"/>
    <w:rsid w:val="00BC6CC5"/>
    <w:rsid w:val="00BD2581"/>
    <w:rsid w:val="00BD2CA9"/>
    <w:rsid w:val="00BD67A7"/>
    <w:rsid w:val="00BE5121"/>
    <w:rsid w:val="00BE5227"/>
    <w:rsid w:val="00BF0D8B"/>
    <w:rsid w:val="00BF59C7"/>
    <w:rsid w:val="00BF606D"/>
    <w:rsid w:val="00BF7A31"/>
    <w:rsid w:val="00BF7DE9"/>
    <w:rsid w:val="00C04F29"/>
    <w:rsid w:val="00C064D6"/>
    <w:rsid w:val="00C07AE8"/>
    <w:rsid w:val="00C118A7"/>
    <w:rsid w:val="00C12D75"/>
    <w:rsid w:val="00C12E59"/>
    <w:rsid w:val="00C16AAD"/>
    <w:rsid w:val="00C20AA0"/>
    <w:rsid w:val="00C23EEA"/>
    <w:rsid w:val="00C24FD6"/>
    <w:rsid w:val="00C26182"/>
    <w:rsid w:val="00C27F70"/>
    <w:rsid w:val="00C315D4"/>
    <w:rsid w:val="00C36037"/>
    <w:rsid w:val="00C439E1"/>
    <w:rsid w:val="00C445F1"/>
    <w:rsid w:val="00C44F04"/>
    <w:rsid w:val="00C453CA"/>
    <w:rsid w:val="00C45D41"/>
    <w:rsid w:val="00C46091"/>
    <w:rsid w:val="00C46CDC"/>
    <w:rsid w:val="00C57562"/>
    <w:rsid w:val="00C576BE"/>
    <w:rsid w:val="00C60A46"/>
    <w:rsid w:val="00C625A1"/>
    <w:rsid w:val="00C64B72"/>
    <w:rsid w:val="00C65CF3"/>
    <w:rsid w:val="00C65DC4"/>
    <w:rsid w:val="00C669D2"/>
    <w:rsid w:val="00C66A2C"/>
    <w:rsid w:val="00C77119"/>
    <w:rsid w:val="00C80B85"/>
    <w:rsid w:val="00C80E21"/>
    <w:rsid w:val="00C84A1A"/>
    <w:rsid w:val="00C8545C"/>
    <w:rsid w:val="00C86002"/>
    <w:rsid w:val="00C90274"/>
    <w:rsid w:val="00C92854"/>
    <w:rsid w:val="00C97583"/>
    <w:rsid w:val="00C97B2A"/>
    <w:rsid w:val="00CA297F"/>
    <w:rsid w:val="00CA3A80"/>
    <w:rsid w:val="00CB0321"/>
    <w:rsid w:val="00CB1080"/>
    <w:rsid w:val="00CB1E39"/>
    <w:rsid w:val="00CB45B5"/>
    <w:rsid w:val="00CB7A18"/>
    <w:rsid w:val="00CC2A4C"/>
    <w:rsid w:val="00CD2BA4"/>
    <w:rsid w:val="00CD3BF1"/>
    <w:rsid w:val="00CD47E2"/>
    <w:rsid w:val="00CD6696"/>
    <w:rsid w:val="00CD6AF2"/>
    <w:rsid w:val="00CD6FBF"/>
    <w:rsid w:val="00CE200F"/>
    <w:rsid w:val="00CE2895"/>
    <w:rsid w:val="00CE42FD"/>
    <w:rsid w:val="00CF125F"/>
    <w:rsid w:val="00CF2EEB"/>
    <w:rsid w:val="00CF4093"/>
    <w:rsid w:val="00CF7039"/>
    <w:rsid w:val="00CF7997"/>
    <w:rsid w:val="00CF7EBD"/>
    <w:rsid w:val="00D018E3"/>
    <w:rsid w:val="00D0357A"/>
    <w:rsid w:val="00D047FD"/>
    <w:rsid w:val="00D06763"/>
    <w:rsid w:val="00D06DF4"/>
    <w:rsid w:val="00D11321"/>
    <w:rsid w:val="00D1434A"/>
    <w:rsid w:val="00D14ED4"/>
    <w:rsid w:val="00D214C8"/>
    <w:rsid w:val="00D23059"/>
    <w:rsid w:val="00D23839"/>
    <w:rsid w:val="00D312DB"/>
    <w:rsid w:val="00D314D2"/>
    <w:rsid w:val="00D320FB"/>
    <w:rsid w:val="00D33D21"/>
    <w:rsid w:val="00D36D5F"/>
    <w:rsid w:val="00D405B0"/>
    <w:rsid w:val="00D4290F"/>
    <w:rsid w:val="00D45577"/>
    <w:rsid w:val="00D503A0"/>
    <w:rsid w:val="00D51D42"/>
    <w:rsid w:val="00D60838"/>
    <w:rsid w:val="00D61B70"/>
    <w:rsid w:val="00D66DD5"/>
    <w:rsid w:val="00D72AF6"/>
    <w:rsid w:val="00D800DE"/>
    <w:rsid w:val="00D807A7"/>
    <w:rsid w:val="00D870BB"/>
    <w:rsid w:val="00D90816"/>
    <w:rsid w:val="00D91795"/>
    <w:rsid w:val="00D93249"/>
    <w:rsid w:val="00D93DF2"/>
    <w:rsid w:val="00D95658"/>
    <w:rsid w:val="00D97338"/>
    <w:rsid w:val="00DA3731"/>
    <w:rsid w:val="00DA6502"/>
    <w:rsid w:val="00DC1A81"/>
    <w:rsid w:val="00DC7600"/>
    <w:rsid w:val="00DD2556"/>
    <w:rsid w:val="00DD2755"/>
    <w:rsid w:val="00DD6F47"/>
    <w:rsid w:val="00DE30D9"/>
    <w:rsid w:val="00DE5709"/>
    <w:rsid w:val="00DE5809"/>
    <w:rsid w:val="00DE718E"/>
    <w:rsid w:val="00DF1A2C"/>
    <w:rsid w:val="00DF3896"/>
    <w:rsid w:val="00DF547B"/>
    <w:rsid w:val="00E05771"/>
    <w:rsid w:val="00E0678A"/>
    <w:rsid w:val="00E12EFD"/>
    <w:rsid w:val="00E17A96"/>
    <w:rsid w:val="00E2159E"/>
    <w:rsid w:val="00E3213B"/>
    <w:rsid w:val="00E347CC"/>
    <w:rsid w:val="00E3638C"/>
    <w:rsid w:val="00E379EA"/>
    <w:rsid w:val="00E37AE8"/>
    <w:rsid w:val="00E40A52"/>
    <w:rsid w:val="00E4184C"/>
    <w:rsid w:val="00E42367"/>
    <w:rsid w:val="00E5190D"/>
    <w:rsid w:val="00E519AF"/>
    <w:rsid w:val="00E55229"/>
    <w:rsid w:val="00E60320"/>
    <w:rsid w:val="00E76D9A"/>
    <w:rsid w:val="00E83BC8"/>
    <w:rsid w:val="00E94576"/>
    <w:rsid w:val="00E94FAB"/>
    <w:rsid w:val="00E96851"/>
    <w:rsid w:val="00EA3FC6"/>
    <w:rsid w:val="00EA4471"/>
    <w:rsid w:val="00EB0DBD"/>
    <w:rsid w:val="00EB58ED"/>
    <w:rsid w:val="00EB5B44"/>
    <w:rsid w:val="00EC100C"/>
    <w:rsid w:val="00EC715D"/>
    <w:rsid w:val="00ED48E2"/>
    <w:rsid w:val="00ED6185"/>
    <w:rsid w:val="00EE33AC"/>
    <w:rsid w:val="00EE5743"/>
    <w:rsid w:val="00EF089C"/>
    <w:rsid w:val="00EF566A"/>
    <w:rsid w:val="00F0084D"/>
    <w:rsid w:val="00F115EA"/>
    <w:rsid w:val="00F1238C"/>
    <w:rsid w:val="00F14F41"/>
    <w:rsid w:val="00F1769F"/>
    <w:rsid w:val="00F20B72"/>
    <w:rsid w:val="00F20BEC"/>
    <w:rsid w:val="00F213F5"/>
    <w:rsid w:val="00F226D5"/>
    <w:rsid w:val="00F2760A"/>
    <w:rsid w:val="00F320B8"/>
    <w:rsid w:val="00F34C19"/>
    <w:rsid w:val="00F45AC3"/>
    <w:rsid w:val="00F50B2B"/>
    <w:rsid w:val="00F527D8"/>
    <w:rsid w:val="00F54327"/>
    <w:rsid w:val="00F54AC8"/>
    <w:rsid w:val="00F551F6"/>
    <w:rsid w:val="00F66BFE"/>
    <w:rsid w:val="00F70073"/>
    <w:rsid w:val="00F72C08"/>
    <w:rsid w:val="00F77958"/>
    <w:rsid w:val="00F77F92"/>
    <w:rsid w:val="00F8187C"/>
    <w:rsid w:val="00F87470"/>
    <w:rsid w:val="00F909A5"/>
    <w:rsid w:val="00F91561"/>
    <w:rsid w:val="00F91D08"/>
    <w:rsid w:val="00F92E6B"/>
    <w:rsid w:val="00F93DEC"/>
    <w:rsid w:val="00F943C1"/>
    <w:rsid w:val="00FA255A"/>
    <w:rsid w:val="00FA5B23"/>
    <w:rsid w:val="00FB23F8"/>
    <w:rsid w:val="00FB2C40"/>
    <w:rsid w:val="00FC08EE"/>
    <w:rsid w:val="00FD1BC4"/>
    <w:rsid w:val="00FD2478"/>
    <w:rsid w:val="00FD4A6A"/>
    <w:rsid w:val="00FD63D2"/>
    <w:rsid w:val="00FE25DF"/>
    <w:rsid w:val="00FE3375"/>
    <w:rsid w:val="00FE7AAA"/>
    <w:rsid w:val="00FF162D"/>
    <w:rsid w:val="00FF23A7"/>
    <w:rsid w:val="00FF375A"/>
    <w:rsid w:val="00FF4ADE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C4E9C8"/>
  <w15:chartTrackingRefBased/>
  <w15:docId w15:val="{9A612DAD-D2B6-472B-A0E6-E52152C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lang w:val="es-CL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jc w:val="both"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2"/>
      <w:szCs w:val="22"/>
      <w:u w:val="single"/>
      <w:lang w:val="es-CL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120"/>
      <w:ind w:left="357" w:firstLine="0"/>
      <w:outlineLvl w:val="6"/>
    </w:pPr>
    <w:rPr>
      <w:rFonts w:ascii="Arial" w:hAnsi="Arial" w:cs="Arial"/>
      <w:b/>
      <w:sz w:val="22"/>
      <w:szCs w:val="20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 w:hint="default"/>
      <w:shd w:val="clear" w:color="auto" w:fill="FFFF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cs="Times New Roman" w:hint="default"/>
      <w:shd w:val="clear" w:color="auto" w:fill="FFFF00"/>
    </w:rPr>
  </w:style>
  <w:style w:type="character" w:customStyle="1" w:styleId="Fuentedeprrafopredeter3">
    <w:name w:val="Fuente de párrafo predeter.3"/>
  </w:style>
  <w:style w:type="character" w:customStyle="1" w:styleId="WW8Num2z2">
    <w:name w:val="WW8Num2z2"/>
  </w:style>
  <w:style w:type="character" w:customStyle="1" w:styleId="WW8Num2z3">
    <w:name w:val="WW8Num2z3"/>
    <w:rPr>
      <w:shd w:val="clear" w:color="auto" w:fill="FFFF00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Fuentedeprrafopredeter2">
    <w:name w:val="Fuente de párrafo predeter.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Symbol" w:hAnsi="Symbol" w:cs="Symbol" w:hint="default"/>
      <w:b/>
      <w:bCs/>
      <w:shd w:val="clear" w:color="auto" w:fill="FFFF0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hd w:val="clear" w:color="auto" w:fill="FFFF00"/>
    </w:rPr>
  </w:style>
  <w:style w:type="character" w:customStyle="1" w:styleId="WW8Num12z0">
    <w:name w:val="WW8Num12z0"/>
    <w:rPr>
      <w:rFonts w:cs="Times New Roman" w:hint="default"/>
      <w:b/>
      <w:sz w:val="24"/>
    </w:rPr>
  </w:style>
  <w:style w:type="character" w:customStyle="1" w:styleId="WW8Num13z0">
    <w:name w:val="WW8Num13z0"/>
    <w:rPr>
      <w:rFonts w:cs="Times New Roman"/>
      <w:lang w:val="es-C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1">
    <w:name w:val="WW8Num19z1"/>
    <w:rPr>
      <w:rFonts w:cs="Times New Roman" w:hint="default"/>
      <w:b/>
      <w:sz w:val="24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cs="Times New Roman" w:hint="default"/>
      <w:b/>
      <w:bCs/>
      <w:sz w:val="24"/>
      <w:shd w:val="clear" w:color="auto" w:fill="FFFF00"/>
    </w:rPr>
  </w:style>
  <w:style w:type="character" w:customStyle="1" w:styleId="WW8Num27z1">
    <w:name w:val="WW8Num27z1"/>
    <w:rPr>
      <w:rFonts w:ascii="Symbol" w:hAnsi="Symbol" w:cs="Symbol" w:hint="default"/>
      <w:b/>
      <w:sz w:val="24"/>
    </w:rPr>
  </w:style>
  <w:style w:type="character" w:customStyle="1" w:styleId="WW8Num27z2">
    <w:name w:val="WW8Num27z2"/>
    <w:rPr>
      <w:rFonts w:cs="Times New Roman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30z0">
    <w:name w:val="WW8Num30z0"/>
    <w:rPr>
      <w:rFonts w:ascii="Symbol" w:hAnsi="Symbol" w:cs="Symbol" w:hint="default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 w:hint="default"/>
      <w:b/>
      <w:sz w:val="24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cs="Times New Roman" w:hint="default"/>
    </w:rPr>
  </w:style>
  <w:style w:type="character" w:customStyle="1" w:styleId="WW8Num40z0">
    <w:name w:val="WW8Num40z0"/>
    <w:rPr>
      <w:rFonts w:cs="Times New Roman" w:hint="default"/>
      <w:b/>
      <w:sz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ascii="Wingdings" w:hAnsi="Wingdings" w:cs="Wingdings" w:hint="default"/>
    </w:rPr>
  </w:style>
  <w:style w:type="character" w:customStyle="1" w:styleId="WW8Num42z0">
    <w:name w:val="WW8Num42z0"/>
    <w:rPr>
      <w:rFonts w:cs="Times New Roman" w:hint="default"/>
      <w:shd w:val="clear" w:color="auto" w:fill="FFFF00"/>
      <w:lang w:val="es-CL"/>
    </w:rPr>
  </w:style>
  <w:style w:type="character" w:customStyle="1" w:styleId="WW8Num42z1">
    <w:name w:val="WW8Num42z1"/>
    <w:rPr>
      <w:rFonts w:cs="Times New Roman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Cambria" w:hAnsi="Cambria" w:cs="Times New Roman"/>
      <w:b/>
      <w:bCs/>
      <w:kern w:val="1"/>
      <w:sz w:val="32"/>
      <w:szCs w:val="32"/>
      <w:lang w:val="es-ES"/>
    </w:rPr>
  </w:style>
  <w:style w:type="character" w:customStyle="1" w:styleId="Ttulo2Car">
    <w:name w:val="Título 2 Car"/>
    <w:rPr>
      <w:rFonts w:ascii="Cambria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rPr>
      <w:rFonts w:ascii="Cambria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rPr>
      <w:rFonts w:ascii="Calibri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rPr>
      <w:rFonts w:ascii="Calibri" w:hAnsi="Calibri" w:cs="Times New Roman"/>
      <w:b/>
      <w:bCs/>
      <w:i/>
      <w:iCs/>
      <w:sz w:val="26"/>
      <w:szCs w:val="26"/>
      <w:lang w:val="es-ES"/>
    </w:rPr>
  </w:style>
  <w:style w:type="character" w:customStyle="1" w:styleId="Ttulo7Car">
    <w:name w:val="Título 7 Car"/>
    <w:rPr>
      <w:rFonts w:ascii="Calibri" w:hAnsi="Calibri" w:cs="Times New Roman"/>
      <w:sz w:val="24"/>
      <w:szCs w:val="24"/>
      <w:lang w:val="es-ES"/>
    </w:rPr>
  </w:style>
  <w:style w:type="character" w:customStyle="1" w:styleId="Sangra3detindependienteCar">
    <w:name w:val="Sangría 3 de t. independiente Car"/>
    <w:rPr>
      <w:rFonts w:cs="Times New Roman"/>
      <w:sz w:val="16"/>
      <w:szCs w:val="16"/>
      <w:lang w:val="es-ES"/>
    </w:rPr>
  </w:style>
  <w:style w:type="character" w:customStyle="1" w:styleId="TtuloCar">
    <w:name w:val="Título Car"/>
    <w:rPr>
      <w:rFonts w:ascii="Cambria" w:hAnsi="Cambria" w:cs="Times New Roman"/>
      <w:b/>
      <w:bCs/>
      <w:kern w:val="1"/>
      <w:sz w:val="32"/>
      <w:szCs w:val="32"/>
      <w:lang w:val="es-ES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Strong">
    <w:name w:val="Strong"/>
    <w:qFormat/>
    <w:rPr>
      <w:rFonts w:cs="Times New Roman"/>
      <w:b/>
      <w:bCs/>
    </w:rPr>
  </w:style>
  <w:style w:type="character" w:customStyle="1" w:styleId="Caracteresdenotaalpie">
    <w:name w:val="Caracteres de nota al pie"/>
    <w:rPr>
      <w:rFonts w:cs="Times New Roman"/>
      <w:vertAlign w:val="superscript"/>
    </w:rPr>
  </w:style>
  <w:style w:type="character" w:customStyle="1" w:styleId="TextonotapieCar">
    <w:name w:val="Texto nota pie Car"/>
    <w:rPr>
      <w:rFonts w:cs="Times New Roman"/>
      <w:sz w:val="20"/>
      <w:szCs w:val="20"/>
      <w:lang w:val="es-ES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character" w:customStyle="1" w:styleId="Refdenotaalpie1">
    <w:name w:val="Ref. de nota al pie1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notaalfinal2">
    <w:name w:val="Ref. de nota al final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Encabezado3">
    <w:name w:val="Encabezado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angra3detindependiente1">
    <w:name w:val="Sangría 3 de t. independiente1"/>
    <w:basedOn w:val="Normal"/>
    <w:pPr>
      <w:spacing w:before="120"/>
      <w:ind w:left="357"/>
      <w:jc w:val="both"/>
    </w:pPr>
    <w:rPr>
      <w:rFonts w:ascii="Verdana" w:hAnsi="Verdana" w:cs="Verdana"/>
      <w:sz w:val="20"/>
      <w:szCs w:val="20"/>
      <w:lang w:val="es-C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xttitulo">
    <w:name w:val="txttitulo"/>
    <w:basedOn w:val="Normal"/>
    <w:pPr>
      <w:spacing w:before="100" w:after="100"/>
    </w:pPr>
  </w:style>
  <w:style w:type="paragraph" w:styleId="Title">
    <w:name w:val="Title"/>
    <w:basedOn w:val="Normal"/>
    <w:next w:val="Subtitle"/>
    <w:qFormat/>
    <w:pPr>
      <w:jc w:val="center"/>
    </w:pPr>
    <w:rPr>
      <w:b/>
      <w:szCs w:val="20"/>
      <w:lang w:val="es-ES_tradnl"/>
    </w:rPr>
  </w:style>
  <w:style w:type="paragraph" w:styleId="Subtitle">
    <w:name w:val="Subtitle"/>
    <w:basedOn w:val="Encabezado1"/>
    <w:next w:val="BodyText"/>
    <w:qFormat/>
    <w:pPr>
      <w:jc w:val="center"/>
    </w:pPr>
    <w:rPr>
      <w:i/>
      <w:iCs/>
    </w:rPr>
  </w:style>
  <w:style w:type="paragraph" w:styleId="FootnoteText">
    <w:name w:val="footnote text"/>
    <w:basedOn w:val="Normal"/>
    <w:pPr>
      <w:widowControl w:val="0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DC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8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1A81"/>
    <w:rPr>
      <w:lang w:val="es-E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1A81"/>
    <w:rPr>
      <w:b/>
      <w:bCs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1A81"/>
    <w:rPr>
      <w:rFonts w:ascii="Segoe UI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Hewlett-Packard Company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subject/>
  <dc:creator>Rodrigo Asún</dc:creator>
  <cp:keywords/>
  <cp:lastModifiedBy>Rodrigo Landabur</cp:lastModifiedBy>
  <cp:revision>13</cp:revision>
  <cp:lastPrinted>2012-07-17T20:46:00Z</cp:lastPrinted>
  <dcterms:created xsi:type="dcterms:W3CDTF">2019-06-07T13:10:00Z</dcterms:created>
  <dcterms:modified xsi:type="dcterms:W3CDTF">2019-06-07T13:53:00Z</dcterms:modified>
</cp:coreProperties>
</file>