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Horkheimer: Teoría tradicional y teoría crítica</w:t>
      </w:r>
    </w:p>
    <w:p w:rsidR="00000000" w:rsidDel="00000000" w:rsidP="00000000" w:rsidRDefault="00000000" w:rsidRPr="00000000" w14:paraId="00000001">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Matías Retamales R.</w:t>
      </w:r>
    </w:p>
    <w:p w:rsidR="00000000" w:rsidDel="00000000" w:rsidP="00000000" w:rsidRDefault="00000000" w:rsidRPr="00000000" w14:paraId="00000002">
      <w:pPr>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Teoría tradicional </w:t>
      </w:r>
    </w:p>
    <w:p w:rsidR="00000000" w:rsidDel="00000000" w:rsidP="00000000" w:rsidRDefault="00000000" w:rsidRPr="00000000" w14:paraId="00000003">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Involucra escuelas filosóficas de carácter pragmático y positivista que señalan que la ciencia tiene como misión el “predecir hechos y obtener resultados útiles”, es decir, a la base de un acercamiento a las ciencias naturales a modo de conseguir una teoría unitaria de la ciencia.</w:t>
      </w:r>
    </w:p>
    <w:p w:rsidR="00000000" w:rsidDel="00000000" w:rsidP="00000000" w:rsidRDefault="00000000" w:rsidRPr="00000000" w14:paraId="00000004">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teoría refiere a un conjunto de proposiciones acerca de un campo de objetos, y esas preposiciones están de tal modo relacionadas unas con otras, que de algunas de ellas pueden deducirse las restantes. En palabras de Husserl, una teoría vendría a ser un sistema cerrado de proposiciones de una ciencia. Las partes, sin excepción y sin contradicciones, están encadenadas unas con otras. En efecto, esto demuestra una tendencia a considerar la teoría como un sistema de signos matemáticos obtenidos de forma lógica.</w:t>
      </w:r>
    </w:p>
    <w:p w:rsidR="00000000" w:rsidDel="00000000" w:rsidP="00000000" w:rsidRDefault="00000000" w:rsidRPr="00000000" w14:paraId="00000005">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Siempre hay una ”hipótesis” fraguada en relación a los hechos empíricos, o sea una acumulación de saber, que facilita caracterizar los hechos y luego deducirlos y anticiparse a ellos. En consecuencia, hay una acomulación poco reflexiva del conocimiento; no hay una vuelta hacia atrás de lo dado por conocido. </w:t>
      </w:r>
    </w:p>
    <w:p w:rsidR="00000000" w:rsidDel="00000000" w:rsidP="00000000" w:rsidRDefault="00000000" w:rsidRPr="00000000" w14:paraId="00000006">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Desvincula y aísla los hechos observados de los procesos reales debido a su estructura de principios generales e independientes. Forma un concepto de teoría ahistórico y transforma a la teoría en una categoría cosificada, pues la considera como independiente de las formas de la sociedad.</w:t>
      </w:r>
    </w:p>
    <w:p w:rsidR="00000000" w:rsidDel="00000000" w:rsidP="00000000" w:rsidRDefault="00000000" w:rsidRPr="00000000" w14:paraId="00000007">
      <w:pPr>
        <w:numPr>
          <w:ilvl w:val="0"/>
          <w:numId w:val="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Separa al sujeto del objeto de conocimiento, es decir, la teoría no es sino una actividad pura del pensamiento y el teórico es el espectador desinteresado que sólo describe al mundo ‘tal como es’. En consecuencia, el objeto de estudio es un conjunto de facticidades, y el sujeto un elemento pasivo del acto del conocimiento</w:t>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Teoría crítica </w:t>
      </w:r>
    </w:p>
    <w:p w:rsidR="00000000" w:rsidDel="00000000" w:rsidP="00000000" w:rsidRDefault="00000000" w:rsidRPr="00000000" w14:paraId="0000000A">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 objeto de la ciencia y su misión </w:t>
      </w:r>
    </w:p>
    <w:p w:rsidR="00000000" w:rsidDel="00000000" w:rsidP="00000000" w:rsidRDefault="00000000" w:rsidRPr="00000000" w14:paraId="0000000B">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teoría crítica examina y reflexiona sobre aquellas estructuras y teorías que se proponen dar cuenta de la realidad social, a modo de develar su construcción. Por ello, no acomula hipótesis acerca de la marea de acontecimientos sociales aislados, sino más bien, construye la totalidad de los hechos que se desenvuelven en la historia a nivel de la praxis social. En suma, cuando la teoría es independizada, pasa a ser cosificada e ideología, pues pierde su conexión con los procesos sociales reales. Por eso mismo, las transformaciones no son sólo producto de cualidades lógicas entre ideas dominantes, sino producto de circunstancias históricas. </w:t>
      </w:r>
    </w:p>
    <w:p w:rsidR="00000000" w:rsidDel="00000000" w:rsidP="00000000" w:rsidRDefault="00000000" w:rsidRPr="00000000" w14:paraId="0000000C">
      <w:pPr>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Relación sujeto-objeto </w:t>
      </w:r>
    </w:p>
    <w:p w:rsidR="00000000" w:rsidDel="00000000" w:rsidP="00000000" w:rsidRDefault="00000000" w:rsidRPr="00000000" w14:paraId="0000000D">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el conocimiento no es ahistórico ni cosificado, se transforma en una teoría que cambia, producto de que su sujeto y objeto también lo hace. En este sentido, los hechos están doblemente preformados socialmente, pues tanto sujeto cognoscente como objeto cognoscible, son resultado de complejos procesos sociales e históricos. El objeto no está posicionado en el mundo de forma natural y el sujeto no es un observador pasivo de los hechos que ocurren a su alrededor, por tanto, lo exterior no es algo ‘dado’ sino productos humanos. </w:t>
      </w:r>
    </w:p>
    <w:p w:rsidR="00000000" w:rsidDel="00000000" w:rsidP="00000000" w:rsidRDefault="00000000" w:rsidRPr="00000000" w14:paraId="0000000E">
      <w:pPr>
        <w:ind w:left="72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Praxis pre-científica y trascendencia intramundana</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tarea epistemológica es que los criterios normativos de evaluación coincidan con la realidad social, y que el proyecto de emancipación, por tanto, se corresponda con un interés emancipatoria desde la realidad misma. </w:t>
      </w:r>
    </w:p>
    <w:p w:rsidR="00000000" w:rsidDel="00000000" w:rsidP="00000000" w:rsidRDefault="00000000" w:rsidRPr="00000000" w14:paraId="00000011">
      <w:pPr>
        <w:ind w:left="0" w:firstLine="0"/>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ind w:left="0"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Oficio como emancipación</w:t>
      </w:r>
    </w:p>
    <w:p w:rsidR="00000000" w:rsidDel="00000000" w:rsidP="00000000" w:rsidRDefault="00000000" w:rsidRPr="00000000" w14:paraId="00000013">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oficio del teórico crítico no es desechar hipótesis, sino la lucha de la cual pertenece su pensamiento. Ocupa conceptos para criticar el presente, pues cada parte de la teoría supone la crítica y la lucha contra lo establecido. Por eso mismo, su actividad reflexiva no es neutral, sino política, pues necesita apresurar el desarrollo que conduzca a una sociedad sin injusticia. Ergo, una ciencia en donde se separe el actuar del pensar, el conocimiento de la realidad se estaría haciendo desde una ciencia deshumanizada. </w:t>
      </w:r>
    </w:p>
    <w:p w:rsidR="00000000" w:rsidDel="00000000" w:rsidP="00000000" w:rsidRDefault="00000000" w:rsidRPr="00000000" w14:paraId="00000014">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contextualSpacing w:val="0"/>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La praxis pre-científica puede entenderse como las fuerzas subjetivas que posibilitan el cambio social, enraizadas en las propias personas en forma de experiencias de injusticia. En la Teoría Crítica se ha tomado interés por estas fuerzas, a modo de reconocer la plausibilidad de la emancipación social desde una trascendencia intramundana; esto es, desde condiciones que se encuentren en la propia realidad social. Como tal, la trascendencia intramundana necesita de la praxis pre-científica para los cambios sociales.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