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2"/>
        <w:gridCol w:w="4600"/>
        <w:gridCol w:w="20"/>
        <w:gridCol w:w="680"/>
      </w:tblGrid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1. Nombre de Curso</w:t>
            </w:r>
          </w:p>
        </w:tc>
      </w:tr>
      <w:tr w:rsidR="00445497" w:rsidRPr="00445497" w:rsidTr="00435BD0">
        <w:trPr>
          <w:trHeight w:val="529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35BD0" w:rsidP="0043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lang w:eastAsia="es-CL"/>
              </w:rPr>
              <w:t>MATERIALISMO INTENSIVO. MARX DESPUÉS DEL POSTMARXISMO.</w:t>
            </w:r>
          </w:p>
        </w:tc>
      </w:tr>
      <w:tr w:rsidR="00445497" w:rsidRPr="00445497" w:rsidTr="00435BD0">
        <w:trPr>
          <w:trHeight w:val="28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2. Nombre de Curso en Ingles</w:t>
            </w:r>
          </w:p>
        </w:tc>
      </w:tr>
      <w:tr w:rsidR="00445497" w:rsidRPr="00FA550A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val="en-US"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Intensive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Materialisme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. Marx 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after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postmarxisme</w:t>
            </w:r>
            <w:proofErr w:type="spellEnd"/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3. Unidad Académica</w:t>
            </w:r>
            <w:r w:rsidR="002F0D58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(Carrera o Programa)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Sociología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4. Profesor Titular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Miguel Urrutia Fernández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5. Asistentes o Co-titulares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6. Coordinador de Curso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14655A" w:rsidRPr="0079751F">
              <w:rPr>
                <w:rFonts w:ascii="Calibri" w:eastAsia="Times New Roman" w:hAnsi="Calibri" w:cs="Calibri"/>
                <w:lang w:eastAsia="es-CL"/>
              </w:rPr>
              <w:t>Miguel Urrutia F.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7. Horas de trabajo Presencial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4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8. Horas de trabajo no Presencial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4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9. Tipo de Crédito</w:t>
            </w:r>
            <w:r w:rsidR="002F0D58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(SCT</w:t>
            </w:r>
            <w:r w:rsidR="002521C6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-UD</w:t>
            </w:r>
            <w:r w:rsidR="002F0D58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)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10. Número Créditos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11. Horarios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12. Salas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13. Propósito general del Curso</w:t>
            </w:r>
          </w:p>
        </w:tc>
      </w:tr>
      <w:tr w:rsidR="00445497" w:rsidRPr="00445497" w:rsidTr="00726023">
        <w:trPr>
          <w:trHeight w:val="274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A768CE" w:rsidRPr="0079751F" w:rsidRDefault="0014655A" w:rsidP="00FA550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E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l trabajo de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innovador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s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fundamentales del m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aterialismo </w:t>
            </w:r>
            <w:r w:rsidR="008D581F">
              <w:rPr>
                <w:rFonts w:ascii="Calibri" w:eastAsia="Times New Roman" w:hAnsi="Calibri" w:cs="Calibri"/>
                <w:lang w:eastAsia="es-CL"/>
              </w:rPr>
              <w:t xml:space="preserve">histórico 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como </w:t>
            </w:r>
            <w:proofErr w:type="spellStart"/>
            <w:r w:rsidR="008D581F">
              <w:rPr>
                <w:rFonts w:ascii="Calibri" w:eastAsia="Times New Roman" w:hAnsi="Calibri" w:cs="Calibri"/>
                <w:lang w:eastAsia="es-CL"/>
              </w:rPr>
              <w:t>Marilena</w:t>
            </w:r>
            <w:proofErr w:type="spellEnd"/>
            <w:r w:rsidR="008D58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8D581F">
              <w:rPr>
                <w:rFonts w:ascii="Calibri" w:eastAsia="Times New Roman" w:hAnsi="Calibri" w:cs="Calibri"/>
                <w:lang w:eastAsia="es-CL"/>
              </w:rPr>
              <w:t>Chauí</w:t>
            </w:r>
            <w:proofErr w:type="spellEnd"/>
            <w:r w:rsidR="008D581F">
              <w:rPr>
                <w:rFonts w:ascii="Calibri" w:eastAsia="Times New Roman" w:hAnsi="Calibri" w:cs="Calibri"/>
                <w:lang w:eastAsia="es-CL"/>
              </w:rPr>
              <w:t xml:space="preserve">, </w:t>
            </w:r>
            <w:proofErr w:type="spellStart"/>
            <w:r w:rsidR="008D581F">
              <w:rPr>
                <w:rFonts w:ascii="Calibri" w:eastAsia="Times New Roman" w:hAnsi="Calibri" w:cs="Calibri"/>
                <w:lang w:eastAsia="es-CL"/>
              </w:rPr>
              <w:t>Vania</w:t>
            </w:r>
            <w:proofErr w:type="spellEnd"/>
            <w:r w:rsidR="008D58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8D581F">
              <w:rPr>
                <w:rFonts w:ascii="Calibri" w:eastAsia="Times New Roman" w:hAnsi="Calibri" w:cs="Calibri"/>
                <w:lang w:eastAsia="es-CL"/>
              </w:rPr>
              <w:t>Bambirra</w:t>
            </w:r>
            <w:proofErr w:type="spellEnd"/>
            <w:r w:rsidR="008D581F">
              <w:rPr>
                <w:rFonts w:ascii="Calibri" w:eastAsia="Times New Roman" w:hAnsi="Calibri" w:cs="Calibri"/>
                <w:lang w:eastAsia="es-CL"/>
              </w:rPr>
              <w:t>,</w:t>
            </w:r>
            <w:r w:rsidR="008D581F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Gilles Deleuze,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Félix Guattari</w:t>
            </w:r>
            <w:r w:rsidR="008D581F">
              <w:rPr>
                <w:rFonts w:ascii="Calibri" w:eastAsia="Times New Roman" w:hAnsi="Calibri" w:cs="Calibri"/>
                <w:lang w:eastAsia="es-CL"/>
              </w:rPr>
              <w:t xml:space="preserve"> y Bolívar Echeverría, ha sido empaquetado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en la lectura estadounidense de los Estudios Culturales</w:t>
            </w:r>
            <w:r w:rsidR="008D581F">
              <w:rPr>
                <w:rFonts w:ascii="Calibri" w:eastAsia="Times New Roman" w:hAnsi="Calibri" w:cs="Calibri"/>
                <w:lang w:eastAsia="es-CL"/>
              </w:rPr>
              <w:t xml:space="preserve">, llegando a asociárselos con el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postmarxismo de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autor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>s</w:t>
            </w:r>
            <w:proofErr w:type="spellEnd"/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como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Ernesto 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Laclau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, Chantal </w:t>
            </w:r>
            <w:proofErr w:type="spellStart"/>
            <w:r w:rsidR="00FA550A" w:rsidRPr="0079751F">
              <w:rPr>
                <w:rFonts w:ascii="Calibri" w:eastAsia="Times New Roman" w:hAnsi="Calibri" w:cs="Calibri"/>
                <w:lang w:eastAsia="es-CL"/>
              </w:rPr>
              <w:t>Mouffe</w:t>
            </w:r>
            <w:proofErr w:type="spellEnd"/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, Judith Butler, Roberto 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Esposito, Giorgio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Agamben</w:t>
            </w:r>
            <w:proofErr w:type="spellEnd"/>
            <w:r w:rsidR="00B63437">
              <w:rPr>
                <w:rFonts w:ascii="Calibri" w:eastAsia="Times New Roman" w:hAnsi="Calibri" w:cs="Calibri"/>
                <w:lang w:eastAsia="es-CL"/>
              </w:rPr>
              <w:t xml:space="preserve"> y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otr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>s</w:t>
            </w:r>
            <w:proofErr w:type="spellEnd"/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vinculads</w:t>
            </w:r>
            <w:proofErr w:type="spellEnd"/>
            <w:r w:rsidR="00B63437">
              <w:rPr>
                <w:rFonts w:ascii="Calibri" w:eastAsia="Times New Roman" w:hAnsi="Calibri" w:cs="Calibri"/>
                <w:lang w:eastAsia="es-CL"/>
              </w:rPr>
              <w:t xml:space="preserve"> a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l</w:t>
            </w:r>
            <w:r w:rsidR="00B63437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proofErr w:type="spellStart"/>
            <w:r w:rsidR="00B63437">
              <w:rPr>
                <w:rFonts w:ascii="Calibri" w:eastAsia="Times New Roman" w:hAnsi="Calibri" w:cs="Calibri"/>
                <w:lang w:eastAsia="es-CL"/>
              </w:rPr>
              <w:t>subalternismo</w:t>
            </w:r>
            <w:proofErr w:type="spellEnd"/>
            <w:r w:rsidR="00B63437">
              <w:rPr>
                <w:rFonts w:ascii="Calibri" w:eastAsia="Times New Roman" w:hAnsi="Calibri" w:cs="Calibri"/>
                <w:lang w:eastAsia="es-CL"/>
              </w:rPr>
              <w:t xml:space="preserve">,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e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l </w:t>
            </w:r>
            <w:proofErr w:type="spellStart"/>
            <w:r w:rsidR="0096385C" w:rsidRPr="0079751F">
              <w:rPr>
                <w:rFonts w:ascii="Calibri" w:eastAsia="Times New Roman" w:hAnsi="Calibri" w:cs="Calibri"/>
                <w:lang w:eastAsia="es-CL"/>
              </w:rPr>
              <w:t>postoccidentalismo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8D581F">
              <w:rPr>
                <w:rFonts w:ascii="Calibri" w:eastAsia="Times New Roman" w:hAnsi="Calibri" w:cs="Calibri"/>
                <w:lang w:eastAsia="es-CL"/>
              </w:rPr>
              <w:t xml:space="preserve">y la </w:t>
            </w:r>
            <w:proofErr w:type="spellStart"/>
            <w:r w:rsidR="00B63437" w:rsidRPr="0079751F">
              <w:rPr>
                <w:rFonts w:ascii="Calibri" w:eastAsia="Times New Roman" w:hAnsi="Calibri" w:cs="Calibri"/>
                <w:lang w:eastAsia="es-CL"/>
              </w:rPr>
              <w:t>decolonialidad</w:t>
            </w:r>
            <w:proofErr w:type="spellEnd"/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. Este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curso electivo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se propone demostrar que, más allá de las virtudes y limitaciones de</w:t>
            </w:r>
            <w:r w:rsidR="00726023">
              <w:rPr>
                <w:rFonts w:ascii="Calibri" w:eastAsia="Times New Roman" w:hAnsi="Calibri" w:cs="Calibri"/>
                <w:lang w:eastAsia="es-CL"/>
              </w:rPr>
              <w:t>l postmarxismo,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no </w:t>
            </w:r>
            <w:r w:rsidR="00726023">
              <w:rPr>
                <w:rFonts w:ascii="Calibri" w:eastAsia="Times New Roman" w:hAnsi="Calibri" w:cs="Calibri"/>
                <w:lang w:eastAsia="es-CL"/>
              </w:rPr>
              <w:t>comparte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 con las anteriores corrientes su carácter de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aparato trivial 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>para la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denuncia </w:t>
            </w:r>
            <w:r w:rsidR="0096385C" w:rsidRPr="0079751F">
              <w:rPr>
                <w:rFonts w:ascii="Calibri" w:eastAsia="Times New Roman" w:hAnsi="Calibri" w:cs="Calibri"/>
                <w:lang w:eastAsia="es-CL"/>
              </w:rPr>
              <w:t xml:space="preserve">del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objetivismo en el que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habría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caído la ciencia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moderna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.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 El “espectro de Marx”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opera en estas obras que 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>no promueven ninguna pugna entre realismos objetivistas y relativismos subjetivistas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>, sino que</w:t>
            </w:r>
            <w:r w:rsidR="00FA550A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dan </w:t>
            </w:r>
            <w:r w:rsidR="008D581F">
              <w:rPr>
                <w:rFonts w:ascii="Calibri" w:eastAsia="Times New Roman" w:hAnsi="Calibri" w:cs="Calibri"/>
                <w:lang w:eastAsia="es-CL"/>
              </w:rPr>
              <w:t>privilegios al análisis de la historicidad compleja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  <w:p w:rsidR="00FA550A" w:rsidRPr="0079751F" w:rsidRDefault="00FA550A" w:rsidP="00FA550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Incluso cuando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estos autores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se aproximan al constructivismo y la </w:t>
            </w:r>
            <w:proofErr w:type="spellStart"/>
            <w:r w:rsidRPr="0079751F">
              <w:rPr>
                <w:rFonts w:ascii="Calibri" w:eastAsia="Times New Roman" w:hAnsi="Calibri" w:cs="Calibri"/>
                <w:lang w:eastAsia="es-CL"/>
              </w:rPr>
              <w:t>autopoiésis</w:t>
            </w:r>
            <w:proofErr w:type="spellEnd"/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(en el caso de Guattari), lo hacen desde un materialismo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>intensivo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que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>desarrolla las intuiciones de Marx sobre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la </w:t>
            </w:r>
            <w:proofErr w:type="spellStart"/>
            <w:r w:rsidRPr="0079751F">
              <w:rPr>
                <w:rFonts w:ascii="Calibri" w:eastAsia="Times New Roman" w:hAnsi="Calibri" w:cs="Calibri"/>
                <w:lang w:eastAsia="es-CL"/>
              </w:rPr>
              <w:t>codeterminación</w:t>
            </w:r>
            <w:proofErr w:type="spellEnd"/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del capital y las formas de vida contemporáneas (para decirlo de la manera más sintética posible). Con reglas rigurosas, estas </w:t>
            </w:r>
            <w:proofErr w:type="spellStart"/>
            <w:r w:rsidRPr="0079751F">
              <w:rPr>
                <w:rFonts w:ascii="Calibri" w:eastAsia="Times New Roman" w:hAnsi="Calibri" w:cs="Calibri"/>
                <w:lang w:eastAsia="es-CL"/>
              </w:rPr>
              <w:t>codeterminaciones</w:t>
            </w:r>
            <w:proofErr w:type="spellEnd"/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pueden ser analizadas en una multiplicidad de prácticas y procesos sociales. Solo en ese nivel se revelan las caras abiertas o indeterminadas de las luchas sociales, atenazadas entre un piso y un techo ondulatorios (en el sentido de </w:t>
            </w:r>
            <w:r w:rsidR="0014655A" w:rsidRPr="0079751F">
              <w:rPr>
                <w:rFonts w:ascii="Calibri" w:eastAsia="Times New Roman" w:hAnsi="Calibri" w:cs="Calibri"/>
                <w:lang w:eastAsia="es-CL"/>
              </w:rPr>
              <w:t>aquella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función matemática).</w:t>
            </w:r>
          </w:p>
          <w:p w:rsidR="00FA550A" w:rsidRPr="0079751F" w:rsidRDefault="00FA550A" w:rsidP="00FA550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445497" w:rsidRPr="0079751F" w:rsidRDefault="00FA550A" w:rsidP="0072602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lastRenderedPageBreak/>
              <w:t xml:space="preserve">En este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>curso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revisaremos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las más relevantes de esas reglas </w:t>
            </w:r>
            <w:r w:rsidR="00A768CE" w:rsidRPr="0079751F">
              <w:rPr>
                <w:rFonts w:ascii="Calibri" w:eastAsia="Times New Roman" w:hAnsi="Calibri" w:cs="Calibri"/>
                <w:lang w:eastAsia="es-CL"/>
              </w:rPr>
              <w:t xml:space="preserve">del materialismo intensivo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y las aplicaremos a</w:t>
            </w:r>
            <w:r w:rsidR="00726023">
              <w:rPr>
                <w:rFonts w:ascii="Calibri" w:eastAsia="Times New Roman" w:hAnsi="Calibri" w:cs="Calibri"/>
                <w:lang w:eastAsia="es-CL"/>
              </w:rPr>
              <w:t>l análisis de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="00726023">
              <w:rPr>
                <w:rFonts w:ascii="Calibri" w:eastAsia="Times New Roman" w:hAnsi="Calibri" w:cs="Calibri"/>
                <w:lang w:eastAsia="es-CL"/>
              </w:rPr>
              <w:t>procesos latinoamericanos</w:t>
            </w:r>
            <w:r w:rsidR="0014655A"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</w:tc>
      </w:tr>
      <w:tr w:rsidR="00445497" w:rsidRPr="00445497" w:rsidTr="00040F34">
        <w:trPr>
          <w:trHeight w:val="6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2F0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lastRenderedPageBreak/>
              <w:t xml:space="preserve">14. Competencias a las que </w:t>
            </w:r>
            <w:r w:rsidR="002F0D58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tributa</w:t>
            </w: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el curso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A768CE" w:rsidP="00A768C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Capacidad de analizar y aplicar (preliminarmente) las reglas concretas del materialismo intensivo.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445497" w:rsidP="00445497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445497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5497" w:rsidRPr="0079751F" w:rsidRDefault="00445497" w:rsidP="002F0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15. Sub-competencias a las que </w:t>
            </w:r>
            <w:r w:rsidR="004F0834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tri</w:t>
            </w:r>
            <w:r w:rsidR="002F0D58"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buta</w:t>
            </w: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el curso</w:t>
            </w:r>
          </w:p>
        </w:tc>
      </w:tr>
      <w:tr w:rsidR="00445497" w:rsidRPr="00445497" w:rsidTr="000E697B">
        <w:trPr>
          <w:trHeight w:val="286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45497" w:rsidRPr="0079751F" w:rsidRDefault="00040F34" w:rsidP="000E697B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Habilidad para Aplicar una analítica de la doble articulación material en los procesos sociales.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Habilidad para demostrar que los conceptos fundamentales del materialismo intensivo reconstruyen un modo de investigación no trivial del </w:t>
            </w:r>
            <w:proofErr w:type="spellStart"/>
            <w:r w:rsidRPr="0079751F">
              <w:rPr>
                <w:rFonts w:ascii="Calibri" w:eastAsia="Times New Roman" w:hAnsi="Calibri" w:cs="Calibri"/>
                <w:i/>
                <w:lang w:eastAsia="es-CL"/>
              </w:rPr>
              <w:t>socius</w:t>
            </w:r>
            <w:proofErr w:type="spellEnd"/>
            <w:r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Realizar una experiencia acotada de escritura científica desde la herencia marxista presente en la teoría de los agenciamientos colectivos</w:t>
            </w:r>
            <w:r w:rsidR="000E697B"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16. Resultados de Aprendizaje del Curso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79751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Elaboración por etapas de un </w:t>
            </w:r>
            <w:r w:rsidR="0079751F">
              <w:rPr>
                <w:rFonts w:ascii="Calibri" w:eastAsia="Times New Roman" w:hAnsi="Calibri" w:cs="Calibri"/>
                <w:lang w:eastAsia="es-CL"/>
              </w:rPr>
              <w:t>análisis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no trivial (científico en el sentido del materialismo intensivo)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17. Contenidos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Unidad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Contenido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1B7E49" w:rsidP="001B7E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lang w:eastAsia="es-CL"/>
              </w:rPr>
              <w:t>LA PRODUCCIÓN COMO TOTALIDAD SOCIAL.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A45706" w:rsidRPr="0079751F" w:rsidRDefault="004A0A1A" w:rsidP="004A0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La conexión </w:t>
            </w:r>
            <w:r w:rsidR="003169D5" w:rsidRPr="0079751F">
              <w:rPr>
                <w:rFonts w:ascii="Calibri" w:eastAsia="Times New Roman" w:hAnsi="Calibri" w:cs="Calibri"/>
                <w:lang w:eastAsia="es-CL"/>
              </w:rPr>
              <w:t>“</w:t>
            </w:r>
            <w:proofErr w:type="spellStart"/>
            <w:r w:rsidR="004C6A61" w:rsidRPr="0079751F">
              <w:rPr>
                <w:rFonts w:ascii="Calibri" w:eastAsia="Times New Roman" w:hAnsi="Calibri" w:cs="Calibri"/>
                <w:lang w:eastAsia="es-CL"/>
              </w:rPr>
              <w:t>Grundrisse</w:t>
            </w:r>
            <w:proofErr w:type="spellEnd"/>
            <w:r w:rsidR="003169D5" w:rsidRPr="0079751F">
              <w:rPr>
                <w:rFonts w:ascii="Calibri" w:eastAsia="Times New Roman" w:hAnsi="Calibri" w:cs="Calibri"/>
                <w:lang w:eastAsia="es-CL"/>
              </w:rPr>
              <w:t>”</w:t>
            </w:r>
            <w:r w:rsidR="004C6A61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de Marx con</w:t>
            </w:r>
            <w:r w:rsidR="003169D5" w:rsidRPr="0079751F">
              <w:rPr>
                <w:rFonts w:ascii="Calibri" w:eastAsia="Times New Roman" w:hAnsi="Calibri" w:cs="Calibri"/>
                <w:lang w:eastAsia="es-CL"/>
              </w:rPr>
              <w:t xml:space="preserve"> Deleuze &amp; </w:t>
            </w:r>
            <w:r w:rsidR="00A45706" w:rsidRPr="0079751F">
              <w:rPr>
                <w:rFonts w:ascii="Calibri" w:eastAsia="Times New Roman" w:hAnsi="Calibri" w:cs="Calibri"/>
                <w:lang w:eastAsia="es-CL"/>
              </w:rPr>
              <w:t>Guattari.</w:t>
            </w:r>
          </w:p>
          <w:p w:rsidR="00A45706" w:rsidRPr="0079751F" w:rsidRDefault="00A45706" w:rsidP="004A0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Ontología marxista del deseo como producción.</w:t>
            </w:r>
          </w:p>
          <w:p w:rsidR="00040F34" w:rsidRPr="0079751F" w:rsidRDefault="00A45706" w:rsidP="004A0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Reglas concretas para el análisis de agenciamientos colectivos.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1B7E49" w:rsidP="001B7E4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lang w:eastAsia="es-CL"/>
              </w:rPr>
              <w:t>INTRODUCCIÓN AL MÉTODO DEL MATERIALISMO INTENSIVO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A0A1A" w:rsidRPr="0079751F" w:rsidRDefault="00472932" w:rsidP="004A0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América Latina como historicidad compleja</w:t>
            </w:r>
          </w:p>
          <w:p w:rsidR="004A0A1A" w:rsidRPr="0079751F" w:rsidRDefault="004A0A1A" w:rsidP="004A0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Análisis de guerra en planos de inmanencia. </w:t>
            </w:r>
          </w:p>
          <w:p w:rsidR="00040F34" w:rsidRPr="0079751F" w:rsidRDefault="00472932" w:rsidP="0047293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Prácticas políticas intensivas en </w:t>
            </w:r>
            <w:r>
              <w:rPr>
                <w:rFonts w:ascii="Calibri" w:eastAsia="Times New Roman" w:hAnsi="Calibri" w:cs="Calibri"/>
                <w:lang w:eastAsia="es-CL"/>
              </w:rPr>
              <w:t>América Latina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624542" w:rsidP="006245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lang w:eastAsia="es-CL"/>
              </w:rPr>
              <w:t>EL ANÁLISIS INTEGRADOR DEL MATERIALISMO INTENSIVO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1B7E49" w:rsidRPr="0079751F" w:rsidRDefault="00624542" w:rsidP="005D0D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La lucha de clases en </w:t>
            </w:r>
            <w:r w:rsidR="001B7E49" w:rsidRPr="0079751F">
              <w:rPr>
                <w:rFonts w:ascii="Calibri" w:eastAsia="Times New Roman" w:hAnsi="Calibri" w:cs="Calibri"/>
                <w:lang w:eastAsia="es-CL"/>
              </w:rPr>
              <w:t xml:space="preserve">la política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intensiva</w:t>
            </w:r>
            <w:r w:rsidR="001B7E49"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  <w:p w:rsidR="00040F34" w:rsidRPr="0079751F" w:rsidRDefault="00624542" w:rsidP="005D0D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Trabajo y producción de una política intensiva</w:t>
            </w:r>
            <w:r w:rsidR="001B7E49"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  <w:p w:rsidR="00624542" w:rsidRPr="0079751F" w:rsidRDefault="003169D5" w:rsidP="003169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Procesos de</w:t>
            </w:r>
            <w:r w:rsidR="00624542" w:rsidRPr="0079751F">
              <w:rPr>
                <w:rFonts w:ascii="Calibri" w:eastAsia="Times New Roman" w:hAnsi="Calibri" w:cs="Calibri"/>
                <w:lang w:eastAsia="es-CL"/>
              </w:rPr>
              <w:t xml:space="preserve"> abstrac</w:t>
            </w:r>
            <w:r w:rsidR="005D0D38" w:rsidRPr="0079751F">
              <w:rPr>
                <w:rFonts w:ascii="Calibri" w:eastAsia="Times New Roman" w:hAnsi="Calibri" w:cs="Calibri"/>
                <w:lang w:eastAsia="es-CL"/>
              </w:rPr>
              <w:t>ción</w:t>
            </w:r>
            <w:r w:rsidR="00624542" w:rsidRPr="0079751F"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para un </w:t>
            </w:r>
            <w:r w:rsidR="005D0D38" w:rsidRPr="0079751F">
              <w:rPr>
                <w:rFonts w:ascii="Calibri" w:eastAsia="Times New Roman" w:hAnsi="Calibri" w:cs="Calibri"/>
                <w:lang w:eastAsia="es-CL"/>
              </w:rPr>
              <w:t>realismo de lo imposible.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18. Metodología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5D0D38" w:rsidRPr="0079751F">
              <w:rPr>
                <w:rFonts w:ascii="Calibri" w:eastAsia="Times New Roman" w:hAnsi="Calibri" w:cs="Calibri"/>
                <w:lang w:eastAsia="es-CL"/>
              </w:rPr>
              <w:t>Exposición del profesor. Preguntas y debate</w:t>
            </w:r>
            <w:r w:rsidR="003169D5" w:rsidRPr="0079751F">
              <w:rPr>
                <w:rFonts w:ascii="Calibri" w:eastAsia="Times New Roman" w:hAnsi="Calibri" w:cs="Calibri"/>
                <w:lang w:eastAsia="es-CL"/>
              </w:rPr>
              <w:t>s</w:t>
            </w:r>
            <w:r w:rsidR="005D0D38" w:rsidRPr="0079751F">
              <w:rPr>
                <w:rFonts w:ascii="Calibri" w:eastAsia="Times New Roman" w:hAnsi="Calibri" w:cs="Calibri"/>
                <w:lang w:eastAsia="es-CL"/>
              </w:rPr>
              <w:t xml:space="preserve"> fundados en lecturas previas.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19. Evaluaciones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Nombre Evaluación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Descripción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(%)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79751F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Prueba oral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79751F" w:rsidP="001B6B5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Realizada en grupos en secuencia invertida respecto de la prueba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79751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79751F">
              <w:rPr>
                <w:rFonts w:ascii="Calibri" w:eastAsia="Times New Roman" w:hAnsi="Calibri" w:cs="Calibri"/>
                <w:lang w:eastAsia="es-CL"/>
              </w:rPr>
              <w:t>50%</w:t>
            </w:r>
          </w:p>
        </w:tc>
      </w:tr>
      <w:tr w:rsidR="00B3046A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3046A" w:rsidRPr="0079751F" w:rsidRDefault="0079751F" w:rsidP="00B3046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Prueba oral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3046A" w:rsidRPr="0079751F" w:rsidRDefault="0079751F" w:rsidP="001B6B5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Realizada en grupos en secuencia i</w:t>
            </w:r>
            <w:r>
              <w:rPr>
                <w:rFonts w:ascii="Calibri" w:eastAsia="Times New Roman" w:hAnsi="Calibri" w:cs="Calibri"/>
                <w:lang w:eastAsia="es-CL"/>
              </w:rPr>
              <w:t>nvertida respecto de la prueba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3046A" w:rsidRPr="0079751F" w:rsidRDefault="00B3046A" w:rsidP="0079751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79751F">
              <w:rPr>
                <w:rFonts w:ascii="Calibri" w:eastAsia="Times New Roman" w:hAnsi="Calibri" w:cs="Calibri"/>
                <w:lang w:eastAsia="es-CL"/>
              </w:rPr>
              <w:t>50%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B3046A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EXAMEN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1B6B52" w:rsidP="001B6B52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Oral en grupos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  <w:r w:rsidR="00B3046A" w:rsidRPr="0079751F">
              <w:rPr>
                <w:rFonts w:ascii="Calibri" w:eastAsia="Times New Roman" w:hAnsi="Calibri" w:cs="Calibri"/>
                <w:lang w:eastAsia="es-CL"/>
              </w:rPr>
              <w:t>40</w:t>
            </w:r>
            <w:r w:rsidR="00904661">
              <w:rPr>
                <w:rFonts w:ascii="Calibri" w:eastAsia="Times New Roman" w:hAnsi="Calibri" w:cs="Calibri"/>
                <w:lang w:eastAsia="es-CL"/>
              </w:rPr>
              <w:t>%</w:t>
            </w:r>
          </w:p>
        </w:tc>
      </w:tr>
      <w:tr w:rsidR="00040F34" w:rsidRPr="00445497" w:rsidTr="00040F34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t>20. Criterios de Evaluación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040F34" w:rsidRPr="0079751F" w:rsidRDefault="00B3046A" w:rsidP="00B3046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Rigurosidad en la distinción de problematizaciones triviales y no triviales.</w:t>
            </w:r>
          </w:p>
          <w:p w:rsidR="004C6A61" w:rsidRPr="0079751F" w:rsidRDefault="004C6A61" w:rsidP="00B3046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lastRenderedPageBreak/>
              <w:t>Consistencia con los postulados metodológicos del materialismo intensivo.</w:t>
            </w:r>
          </w:p>
          <w:p w:rsidR="00B3046A" w:rsidRPr="0079751F" w:rsidRDefault="004C6A61" w:rsidP="0090466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Precisión en </w:t>
            </w:r>
            <w:r w:rsidR="00904661">
              <w:rPr>
                <w:rFonts w:ascii="Calibri" w:eastAsia="Times New Roman" w:hAnsi="Calibri" w:cs="Calibri"/>
                <w:lang w:eastAsia="es-CL"/>
              </w:rPr>
              <w:t>el uso de conceptos del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materialismo intensivo.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0F34" w:rsidRPr="0079751F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b/>
                <w:bCs/>
                <w:lang w:eastAsia="es-CL"/>
              </w:rPr>
              <w:lastRenderedPageBreak/>
              <w:t>21. Requisitos de Aprobación</w:t>
            </w:r>
          </w:p>
        </w:tc>
      </w:tr>
      <w:tr w:rsidR="00040F34" w:rsidRPr="00445497" w:rsidTr="00040F34">
        <w:trPr>
          <w:trHeight w:val="300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4C6A61" w:rsidRPr="001B6B52" w:rsidRDefault="000E697B" w:rsidP="001B6B5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9751F">
              <w:rPr>
                <w:rFonts w:ascii="Calibri" w:eastAsia="Times New Roman" w:hAnsi="Calibri" w:cs="Calibri"/>
                <w:lang w:eastAsia="es-CL"/>
              </w:rPr>
              <w:t>Asistencia de 8</w:t>
            </w:r>
            <w:r w:rsidR="004C6A61" w:rsidRPr="0079751F">
              <w:rPr>
                <w:rFonts w:ascii="Calibri" w:eastAsia="Times New Roman" w:hAnsi="Calibri" w:cs="Calibri"/>
                <w:lang w:eastAsia="es-CL"/>
              </w:rPr>
              <w:t xml:space="preserve">0% 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controlada </w:t>
            </w:r>
            <w:r w:rsidR="004C6A61" w:rsidRPr="0079751F">
              <w:rPr>
                <w:rFonts w:ascii="Calibri" w:eastAsia="Times New Roman" w:hAnsi="Calibri" w:cs="Calibri"/>
                <w:lang w:eastAsia="es-CL"/>
              </w:rPr>
              <w:t>(dada la relevancia de las explicaciones ofrecidas en la clase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 xml:space="preserve"> y las preguntas e interacciones dirigidas a las/los estudiantes</w:t>
            </w:r>
            <w:r w:rsidR="004C6A61" w:rsidRPr="0079751F">
              <w:rPr>
                <w:rFonts w:ascii="Calibri" w:eastAsia="Times New Roman" w:hAnsi="Calibri" w:cs="Calibri"/>
                <w:lang w:eastAsia="es-CL"/>
              </w:rPr>
              <w:t>)</w:t>
            </w:r>
            <w:r w:rsidRPr="0079751F">
              <w:rPr>
                <w:rFonts w:ascii="Calibri" w:eastAsia="Times New Roman" w:hAnsi="Calibri" w:cs="Calibri"/>
                <w:lang w:eastAsia="es-CL"/>
              </w:rPr>
              <w:t>.</w:t>
            </w:r>
          </w:p>
        </w:tc>
      </w:tr>
      <w:tr w:rsidR="00040F34" w:rsidRPr="00445497" w:rsidTr="00040F34">
        <w:trPr>
          <w:gridAfter w:val="1"/>
          <w:wAfter w:w="680" w:type="dxa"/>
          <w:trHeight w:val="300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F34" w:rsidRPr="00445497" w:rsidRDefault="00040F3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</w:pPr>
            <w:r w:rsidRPr="00445497"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  <w:t>22. Bibliografía</w:t>
            </w:r>
          </w:p>
        </w:tc>
      </w:tr>
      <w:tr w:rsidR="00B3046A" w:rsidRPr="00445497" w:rsidTr="00040F34">
        <w:trPr>
          <w:gridAfter w:val="1"/>
          <w:wAfter w:w="680" w:type="dxa"/>
          <w:trHeight w:val="300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3046A" w:rsidRDefault="00B3046A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  <w:t>Obligatoria:</w:t>
            </w:r>
          </w:p>
          <w:p w:rsidR="00726023" w:rsidRDefault="00726023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proofErr w:type="spellStart"/>
            <w:r>
              <w:t>Bambirra</w:t>
            </w:r>
            <w:proofErr w:type="spellEnd"/>
            <w:r>
              <w:t xml:space="preserve">, </w:t>
            </w:r>
            <w:proofErr w:type="spellStart"/>
            <w:r>
              <w:t>Vania</w:t>
            </w:r>
            <w:proofErr w:type="spellEnd"/>
            <w:r>
              <w:t xml:space="preserve"> (</w:t>
            </w:r>
            <w:r w:rsidR="00251597">
              <w:t>1974</w:t>
            </w:r>
            <w:r>
              <w:t xml:space="preserve">) </w:t>
            </w:r>
            <w:r w:rsidR="00251597">
              <w:rPr>
                <w:u w:val="single"/>
              </w:rPr>
              <w:t>La Revolución cubana. Una reinterpretación</w:t>
            </w:r>
            <w:r w:rsidR="00251597">
              <w:t>, México, Editorial Nuestro Tiempo</w:t>
            </w:r>
            <w:r>
              <w:t>.</w:t>
            </w:r>
          </w:p>
          <w:p w:rsidR="00726023" w:rsidRDefault="00726023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proofErr w:type="spellStart"/>
            <w:r>
              <w:t>Chauí</w:t>
            </w:r>
            <w:proofErr w:type="spellEnd"/>
            <w:r>
              <w:t xml:space="preserve">, </w:t>
            </w:r>
            <w:proofErr w:type="spellStart"/>
            <w:r>
              <w:t>Marilena</w:t>
            </w:r>
            <w:proofErr w:type="spellEnd"/>
            <w:r>
              <w:t xml:space="preserve"> (2006). </w:t>
            </w:r>
            <w:r w:rsidRPr="00726023">
              <w:rPr>
                <w:u w:val="single"/>
              </w:rPr>
              <w:t>La historia en el pensamiento de Marx.</w:t>
            </w:r>
          </w:p>
          <w:p w:rsidR="002C489C" w:rsidRPr="00ED435D" w:rsidRDefault="002C489C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ED435D">
              <w:t>Deleuze, Gilles y Félix Guattari (</w:t>
            </w:r>
            <w:r w:rsidRPr="00ED435D">
              <w:rPr>
                <w:sz w:val="20"/>
              </w:rPr>
              <w:t>1972</w:t>
            </w:r>
            <w:r w:rsidRPr="00ED435D">
              <w:t xml:space="preserve">-2005). </w:t>
            </w:r>
            <w:proofErr w:type="spellStart"/>
            <w:r w:rsidRPr="002C489C">
              <w:rPr>
                <w:u w:val="single"/>
              </w:rPr>
              <w:t>L'Anti-Oedipe</w:t>
            </w:r>
            <w:proofErr w:type="spellEnd"/>
            <w:r w:rsidRPr="002C489C">
              <w:rPr>
                <w:u w:val="single"/>
              </w:rPr>
              <w:t xml:space="preserve">. </w:t>
            </w:r>
            <w:proofErr w:type="spellStart"/>
            <w:r w:rsidRPr="002C489C">
              <w:rPr>
                <w:u w:val="single"/>
              </w:rPr>
              <w:t>Capitalisme</w:t>
            </w:r>
            <w:proofErr w:type="spellEnd"/>
            <w:r w:rsidRPr="002C489C">
              <w:rPr>
                <w:u w:val="single"/>
              </w:rPr>
              <w:t xml:space="preserve"> et </w:t>
            </w:r>
            <w:proofErr w:type="spellStart"/>
            <w:r w:rsidRPr="002C489C">
              <w:rPr>
                <w:u w:val="single"/>
              </w:rPr>
              <w:t>schizophrénie</w:t>
            </w:r>
            <w:proofErr w:type="spellEnd"/>
            <w:r w:rsidRPr="002C489C">
              <w:rPr>
                <w:u w:val="single"/>
              </w:rPr>
              <w:t xml:space="preserve"> 1</w:t>
            </w:r>
            <w:r w:rsidRPr="00ED435D">
              <w:t xml:space="preserve">, Paris, Les </w:t>
            </w:r>
            <w:proofErr w:type="spellStart"/>
            <w:r w:rsidRPr="00ED435D">
              <w:t>éditions</w:t>
            </w:r>
            <w:proofErr w:type="spellEnd"/>
            <w:r w:rsidRPr="00ED435D">
              <w:t xml:space="preserve"> de </w:t>
            </w:r>
            <w:proofErr w:type="spellStart"/>
            <w:r w:rsidRPr="00ED435D">
              <w:t>Minuit</w:t>
            </w:r>
            <w:proofErr w:type="spellEnd"/>
            <w:r w:rsidRPr="00ED435D">
              <w:t>. (Hay traducción al español en Anagrama)</w:t>
            </w:r>
          </w:p>
          <w:p w:rsidR="00726023" w:rsidRDefault="00726023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Echeverría, Bolívar (2008). </w:t>
            </w:r>
            <w:r w:rsidRPr="00726023">
              <w:rPr>
                <w:u w:val="single"/>
              </w:rPr>
              <w:t xml:space="preserve">Introducción a las tesis de filosofía </w:t>
            </w:r>
            <w:r>
              <w:rPr>
                <w:u w:val="single"/>
              </w:rPr>
              <w:t xml:space="preserve">de la historia de Walter </w:t>
            </w:r>
            <w:proofErr w:type="spellStart"/>
            <w:r>
              <w:rPr>
                <w:u w:val="single"/>
              </w:rPr>
              <w:t>Benjami</w:t>
            </w:r>
            <w:r w:rsidRPr="00726023">
              <w:rPr>
                <w:u w:val="single"/>
              </w:rPr>
              <w:t>n</w:t>
            </w:r>
            <w:proofErr w:type="spellEnd"/>
            <w:r>
              <w:t>.</w:t>
            </w:r>
          </w:p>
          <w:p w:rsidR="002C489C" w:rsidRDefault="002C489C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Marx, Karl</w:t>
            </w:r>
            <w:r w:rsidR="00713DCB">
              <w:t xml:space="preserve"> </w:t>
            </w:r>
            <w:r w:rsidR="008700AE">
              <w:t>(</w:t>
            </w:r>
            <w:r w:rsidR="008700AE" w:rsidRPr="008700AE">
              <w:rPr>
                <w:sz w:val="20"/>
              </w:rPr>
              <w:t>185</w:t>
            </w:r>
            <w:r w:rsidR="008700AE">
              <w:rPr>
                <w:sz w:val="20"/>
              </w:rPr>
              <w:t>7 a 1858</w:t>
            </w:r>
            <w:r w:rsidR="008700AE">
              <w:t xml:space="preserve">- 2007). </w:t>
            </w:r>
            <w:r w:rsidR="008700AE">
              <w:rPr>
                <w:u w:val="single"/>
              </w:rPr>
              <w:t>Elementos fundame</w:t>
            </w:r>
            <w:r w:rsidR="008700AE" w:rsidRPr="008700AE">
              <w:rPr>
                <w:u w:val="single"/>
              </w:rPr>
              <w:t xml:space="preserve">ntales para la crítica de </w:t>
            </w:r>
            <w:r w:rsidR="0079751F">
              <w:rPr>
                <w:u w:val="single"/>
              </w:rPr>
              <w:t>la economía política</w:t>
            </w:r>
            <w:r w:rsidR="0079751F">
              <w:t>, México, Siglo XXI.</w:t>
            </w:r>
          </w:p>
          <w:p w:rsidR="00627A64" w:rsidRDefault="00904661" w:rsidP="00627A64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Marx, Karl </w:t>
            </w:r>
            <w:r w:rsidR="00627A64">
              <w:t xml:space="preserve">(2009). </w:t>
            </w:r>
            <w:r w:rsidR="00726023" w:rsidRPr="00627A64">
              <w:rPr>
                <w:u w:val="single"/>
              </w:rPr>
              <w:t>El Capital</w:t>
            </w:r>
            <w:r w:rsidR="00627A64" w:rsidRPr="00627A64">
              <w:rPr>
                <w:u w:val="single"/>
              </w:rPr>
              <w:t xml:space="preserve"> Libro I Capítulo VI (inédito). Resultados del proceso inmediato de producción</w:t>
            </w:r>
            <w:r w:rsidR="00627A64">
              <w:t>, México, Siglo XXI.</w:t>
            </w:r>
          </w:p>
          <w:p w:rsidR="002C489C" w:rsidRDefault="002C489C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ED435D">
              <w:t>Urrutia, Miguel (201</w:t>
            </w:r>
            <w:r w:rsidR="0079751F">
              <w:t>8</w:t>
            </w:r>
            <w:r w:rsidRPr="00ED435D">
              <w:t xml:space="preserve">) </w:t>
            </w:r>
            <w:r>
              <w:t>“</w:t>
            </w:r>
            <w:r w:rsidR="0079751F">
              <w:t xml:space="preserve">Lo político en las relaciones laborales chilenas. Suspensos de la </w:t>
            </w:r>
            <w:proofErr w:type="spellStart"/>
            <w:r w:rsidR="0079751F">
              <w:t>autopoiesis</w:t>
            </w:r>
            <w:proofErr w:type="spellEnd"/>
            <w:r w:rsidR="0079751F">
              <w:t>.</w:t>
            </w:r>
            <w:r>
              <w:t>”</w:t>
            </w:r>
            <w:r w:rsidRPr="00ED435D">
              <w:t xml:space="preserve"> (</w:t>
            </w:r>
            <w:r w:rsidR="0079751F" w:rsidRPr="0079751F">
              <w:rPr>
                <w:u w:val="single"/>
              </w:rPr>
              <w:t>Capítulo de libro colectivo en edición</w:t>
            </w:r>
            <w:r w:rsidRPr="00ED435D">
              <w:t>)</w:t>
            </w:r>
          </w:p>
          <w:p w:rsidR="009824D8" w:rsidRPr="00ED435D" w:rsidRDefault="004D5FD4" w:rsidP="00625536">
            <w:pPr>
              <w:pStyle w:val="Prrafodelista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>Villalobos-</w:t>
            </w:r>
            <w:proofErr w:type="spellStart"/>
            <w:r>
              <w:t>Ruminott</w:t>
            </w:r>
            <w:proofErr w:type="spellEnd"/>
            <w:r>
              <w:t xml:space="preserve">, Sergio (2018). “Comunismo sucio”, (Próxima edición, Michigan </w:t>
            </w:r>
            <w:proofErr w:type="spellStart"/>
            <w:r>
              <w:t>University</w:t>
            </w:r>
            <w:proofErr w:type="spellEnd"/>
            <w:r>
              <w:t>)</w:t>
            </w:r>
          </w:p>
          <w:p w:rsidR="004D5FD4" w:rsidRDefault="004D5FD4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</w:pPr>
          </w:p>
          <w:p w:rsidR="00B3046A" w:rsidRDefault="00B3046A" w:rsidP="00040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  <w:t>Complementaria:</w:t>
            </w:r>
          </w:p>
          <w:p w:rsidR="00726023" w:rsidRPr="00ED435D" w:rsidRDefault="00726023" w:rsidP="00726023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35BD0">
              <w:rPr>
                <w:lang w:val="en-US"/>
              </w:rPr>
              <w:t>Bogard</w:t>
            </w:r>
            <w:proofErr w:type="spellEnd"/>
            <w:r w:rsidRPr="00435BD0">
              <w:rPr>
                <w:lang w:val="en-US"/>
              </w:rPr>
              <w:t xml:space="preserve">, William (1998). “Sense and </w:t>
            </w:r>
            <w:proofErr w:type="spellStart"/>
            <w:r w:rsidRPr="00435BD0">
              <w:rPr>
                <w:lang w:val="en-US"/>
              </w:rPr>
              <w:t>segmentarity</w:t>
            </w:r>
            <w:proofErr w:type="spellEnd"/>
            <w:r w:rsidRPr="00435BD0">
              <w:rPr>
                <w:lang w:val="en-US"/>
              </w:rPr>
              <w:t xml:space="preserve">: some markers of a </w:t>
            </w:r>
            <w:proofErr w:type="spellStart"/>
            <w:r w:rsidRPr="00435BD0">
              <w:rPr>
                <w:lang w:val="en-US"/>
              </w:rPr>
              <w:t>Deleuzian-Guattaria</w:t>
            </w:r>
            <w:r w:rsidRPr="00ED435D">
              <w:rPr>
                <w:lang w:val="en-US"/>
              </w:rPr>
              <w:t>n</w:t>
            </w:r>
            <w:proofErr w:type="spellEnd"/>
            <w:r w:rsidRPr="00ED435D">
              <w:rPr>
                <w:lang w:val="en-US"/>
              </w:rPr>
              <w:t xml:space="preserve"> sociology”. </w:t>
            </w:r>
            <w:proofErr w:type="spellStart"/>
            <w:r w:rsidRPr="00315CDE">
              <w:rPr>
                <w:u w:val="single"/>
                <w:lang w:val="en-US"/>
              </w:rPr>
              <w:t>Sociolgical</w:t>
            </w:r>
            <w:proofErr w:type="spellEnd"/>
            <w:r w:rsidRPr="00315CDE">
              <w:rPr>
                <w:u w:val="single"/>
                <w:lang w:val="en-US"/>
              </w:rPr>
              <w:t xml:space="preserve"> Theory</w:t>
            </w:r>
            <w:r w:rsidRPr="00ED435D">
              <w:rPr>
                <w:lang w:val="en-US"/>
              </w:rPr>
              <w:t xml:space="preserve">, </w:t>
            </w:r>
            <w:proofErr w:type="spellStart"/>
            <w:r w:rsidRPr="00ED435D">
              <w:rPr>
                <w:lang w:val="en-US"/>
              </w:rPr>
              <w:t>Vol</w:t>
            </w:r>
            <w:proofErr w:type="spellEnd"/>
            <w:r w:rsidRPr="00ED435D">
              <w:rPr>
                <w:lang w:val="en-US"/>
              </w:rPr>
              <w:t xml:space="preserve"> 16, pp. 52 a 74.</w:t>
            </w:r>
          </w:p>
          <w:p w:rsidR="002C489C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proofErr w:type="spellStart"/>
            <w:r w:rsidRPr="00ED435D">
              <w:t>Badiou</w:t>
            </w:r>
            <w:proofErr w:type="spellEnd"/>
            <w:r w:rsidRPr="00ED435D">
              <w:t xml:space="preserve">, Alain (1997) </w:t>
            </w:r>
            <w:r w:rsidRPr="00315CDE">
              <w:rPr>
                <w:u w:val="single"/>
              </w:rPr>
              <w:t>Deleuze. El clamor del ser.</w:t>
            </w:r>
            <w:r w:rsidRPr="00ED435D">
              <w:t xml:space="preserve"> Manantial. Buenos Aires.</w:t>
            </w:r>
          </w:p>
          <w:p w:rsidR="002C489C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>Deleuze, Gilles y Félix Guattari (</w:t>
            </w:r>
            <w:r w:rsidRPr="00ED435D">
              <w:rPr>
                <w:sz w:val="20"/>
              </w:rPr>
              <w:t>1980</w:t>
            </w:r>
            <w:r w:rsidRPr="00ED435D">
              <w:t xml:space="preserve">-2004). </w:t>
            </w:r>
            <w:proofErr w:type="spellStart"/>
            <w:r w:rsidRPr="00315CDE">
              <w:rPr>
                <w:u w:val="single"/>
              </w:rPr>
              <w:t>Mille</w:t>
            </w:r>
            <w:proofErr w:type="spellEnd"/>
            <w:r w:rsidRPr="00315CDE">
              <w:rPr>
                <w:u w:val="single"/>
              </w:rPr>
              <w:t xml:space="preserve"> </w:t>
            </w:r>
            <w:proofErr w:type="spellStart"/>
            <w:r w:rsidRPr="00315CDE">
              <w:rPr>
                <w:u w:val="single"/>
              </w:rPr>
              <w:t>Plateux</w:t>
            </w:r>
            <w:proofErr w:type="spellEnd"/>
            <w:r w:rsidRPr="00315CDE">
              <w:rPr>
                <w:u w:val="single"/>
              </w:rPr>
              <w:t xml:space="preserve">. </w:t>
            </w:r>
            <w:proofErr w:type="spellStart"/>
            <w:r w:rsidRPr="00315CDE">
              <w:rPr>
                <w:u w:val="single"/>
              </w:rPr>
              <w:t>Capitalisme</w:t>
            </w:r>
            <w:proofErr w:type="spellEnd"/>
            <w:r w:rsidRPr="00315CDE">
              <w:rPr>
                <w:u w:val="single"/>
              </w:rPr>
              <w:t xml:space="preserve"> et </w:t>
            </w:r>
            <w:proofErr w:type="spellStart"/>
            <w:r w:rsidRPr="00315CDE">
              <w:rPr>
                <w:u w:val="single"/>
              </w:rPr>
              <w:t>schizophrénie</w:t>
            </w:r>
            <w:proofErr w:type="spellEnd"/>
            <w:r w:rsidRPr="00315CDE">
              <w:rPr>
                <w:u w:val="single"/>
              </w:rPr>
              <w:t xml:space="preserve"> 2, Paris, Les </w:t>
            </w:r>
            <w:proofErr w:type="spellStart"/>
            <w:r w:rsidRPr="00315CDE">
              <w:rPr>
                <w:u w:val="single"/>
              </w:rPr>
              <w:t>éditions</w:t>
            </w:r>
            <w:proofErr w:type="spellEnd"/>
            <w:r w:rsidRPr="00315CDE">
              <w:rPr>
                <w:u w:val="single"/>
              </w:rPr>
              <w:t xml:space="preserve"> de </w:t>
            </w:r>
            <w:proofErr w:type="spellStart"/>
            <w:r w:rsidRPr="00315CDE">
              <w:rPr>
                <w:u w:val="single"/>
              </w:rPr>
              <w:t>Minuit</w:t>
            </w:r>
            <w:proofErr w:type="spellEnd"/>
            <w:r w:rsidRPr="00315CDE">
              <w:rPr>
                <w:u w:val="single"/>
              </w:rPr>
              <w:t>.</w:t>
            </w:r>
            <w:r w:rsidRPr="00ED435D">
              <w:t xml:space="preserve"> (Hay traducción al </w:t>
            </w:r>
            <w:r w:rsidR="004C6A61">
              <w:t xml:space="preserve">castellano </w:t>
            </w:r>
            <w:r w:rsidRPr="00ED435D">
              <w:t>en Anagrama)</w:t>
            </w:r>
          </w:p>
          <w:p w:rsidR="008700AE" w:rsidRPr="00ED435D" w:rsidRDefault="008700AE" w:rsidP="008700AE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>Deleuze, Gilles y Félix Guattari (</w:t>
            </w:r>
            <w:r w:rsidR="004C6A61">
              <w:t>1991</w:t>
            </w:r>
            <w:r w:rsidRPr="00ED435D">
              <w:t xml:space="preserve">). </w:t>
            </w:r>
            <w:proofErr w:type="spellStart"/>
            <w:r>
              <w:rPr>
                <w:u w:val="single"/>
              </w:rPr>
              <w:t>Qu'est</w:t>
            </w:r>
            <w:proofErr w:type="spellEnd"/>
            <w:r>
              <w:rPr>
                <w:u w:val="single"/>
              </w:rPr>
              <w:t xml:space="preserve">-ce que la </w:t>
            </w:r>
            <w:proofErr w:type="spellStart"/>
            <w:r>
              <w:rPr>
                <w:u w:val="single"/>
              </w:rPr>
              <w:t>philosophie</w:t>
            </w:r>
            <w:proofErr w:type="spellEnd"/>
            <w:r w:rsidRPr="008700AE">
              <w:rPr>
                <w:u w:val="single"/>
              </w:rPr>
              <w:t>?</w:t>
            </w:r>
            <w:r>
              <w:t xml:space="preserve">, </w:t>
            </w:r>
            <w:r w:rsidR="004C6A61" w:rsidRPr="004C6A61">
              <w:t xml:space="preserve">Paris, Les </w:t>
            </w:r>
            <w:proofErr w:type="spellStart"/>
            <w:r w:rsidR="004C6A61" w:rsidRPr="004C6A61">
              <w:t>éditions</w:t>
            </w:r>
            <w:proofErr w:type="spellEnd"/>
            <w:r w:rsidR="004C6A61" w:rsidRPr="004C6A61">
              <w:t xml:space="preserve"> de </w:t>
            </w:r>
            <w:proofErr w:type="spellStart"/>
            <w:r w:rsidR="004C6A61" w:rsidRPr="004C6A61">
              <w:t>Minuit</w:t>
            </w:r>
            <w:proofErr w:type="spellEnd"/>
            <w:r w:rsidR="004C6A61" w:rsidRPr="004C6A61">
              <w:t>.</w:t>
            </w:r>
            <w:r w:rsidR="004C6A61">
              <w:t xml:space="preserve"> </w:t>
            </w:r>
            <w:r>
              <w:t>(</w:t>
            </w:r>
            <w:r w:rsidR="004C6A61">
              <w:t>Hay traducción al</w:t>
            </w:r>
            <w:r>
              <w:t xml:space="preserve"> castellano </w:t>
            </w:r>
            <w:r w:rsidR="004C6A61">
              <w:t>en</w:t>
            </w:r>
            <w:r>
              <w:t xml:space="preserve"> </w:t>
            </w:r>
            <w:r w:rsidRPr="00ED435D">
              <w:t>Anagrama</w:t>
            </w:r>
            <w:r>
              <w:t>).</w:t>
            </w:r>
          </w:p>
          <w:p w:rsidR="002C489C" w:rsidRPr="00ED435D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 xml:space="preserve">Dosse, François (2009). </w:t>
            </w:r>
            <w:r w:rsidRPr="00315CDE">
              <w:rPr>
                <w:u w:val="single"/>
              </w:rPr>
              <w:t>Gil</w:t>
            </w:r>
            <w:r>
              <w:rPr>
                <w:u w:val="single"/>
              </w:rPr>
              <w:t>l</w:t>
            </w:r>
            <w:r w:rsidRPr="00315CDE">
              <w:rPr>
                <w:u w:val="single"/>
              </w:rPr>
              <w:t>es Deleuze y Félix Guattari. Biografía cruzada</w:t>
            </w:r>
            <w:r w:rsidRPr="00ED435D">
              <w:t>, Buenos Aires, Editorial FCE</w:t>
            </w:r>
          </w:p>
          <w:p w:rsidR="002C489C" w:rsidRPr="00315CDE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 xml:space="preserve">Foucault, Michel </w:t>
            </w:r>
            <w:r>
              <w:t>(1983). “</w:t>
            </w:r>
            <w:r w:rsidRPr="00ED435D">
              <w:t xml:space="preserve">El </w:t>
            </w:r>
            <w:proofErr w:type="spellStart"/>
            <w:r w:rsidRPr="00ED435D">
              <w:t>AntiEdipo</w:t>
            </w:r>
            <w:proofErr w:type="spellEnd"/>
            <w:r w:rsidRPr="00ED435D">
              <w:t>, introducción a una vida no Fascista</w:t>
            </w:r>
            <w:r>
              <w:t>” (</w:t>
            </w:r>
            <w:r w:rsidRPr="00ED435D">
              <w:t xml:space="preserve">Prefacio a la versión en inglés del libro de Deleuze y Guattari. </w:t>
            </w:r>
            <w:r w:rsidRPr="00315CDE">
              <w:t xml:space="preserve">Minneapolis, </w:t>
            </w:r>
            <w:proofErr w:type="spellStart"/>
            <w:r w:rsidRPr="00315CDE">
              <w:t>University</w:t>
            </w:r>
            <w:proofErr w:type="spellEnd"/>
            <w:r w:rsidRPr="00315CDE">
              <w:t xml:space="preserve"> of </w:t>
            </w:r>
            <w:proofErr w:type="spellStart"/>
            <w:r w:rsidRPr="00315CDE">
              <w:t>Minessota</w:t>
            </w:r>
            <w:proofErr w:type="spellEnd"/>
            <w:r w:rsidRPr="00315CDE">
              <w:t xml:space="preserve"> </w:t>
            </w:r>
            <w:proofErr w:type="spellStart"/>
            <w:r w:rsidRPr="00315CDE">
              <w:t>Press</w:t>
            </w:r>
            <w:proofErr w:type="spellEnd"/>
            <w:r>
              <w:t>)</w:t>
            </w:r>
          </w:p>
          <w:p w:rsidR="002C489C" w:rsidRPr="00ED435D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 xml:space="preserve">Guattari, Félix (1998). </w:t>
            </w:r>
            <w:r w:rsidRPr="00315CDE">
              <w:rPr>
                <w:u w:val="single"/>
              </w:rPr>
              <w:t>El devenir de la subjetividad</w:t>
            </w:r>
            <w:r w:rsidRPr="00ED435D">
              <w:t>, Santiago, Dolmen.</w:t>
            </w:r>
          </w:p>
          <w:p w:rsidR="002C489C" w:rsidRPr="00ED435D" w:rsidRDefault="002C489C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 xml:space="preserve">Guattari, </w:t>
            </w:r>
            <w:proofErr w:type="spellStart"/>
            <w:r w:rsidRPr="00ED435D">
              <w:t>Felix</w:t>
            </w:r>
            <w:proofErr w:type="spellEnd"/>
            <w:r w:rsidRPr="00ED435D">
              <w:t xml:space="preserve"> y </w:t>
            </w:r>
            <w:proofErr w:type="spellStart"/>
            <w:r w:rsidRPr="00ED435D">
              <w:t>Rolnik</w:t>
            </w:r>
            <w:proofErr w:type="spellEnd"/>
            <w:r w:rsidRPr="00ED435D">
              <w:t xml:space="preserve">, </w:t>
            </w:r>
            <w:proofErr w:type="spellStart"/>
            <w:r w:rsidRPr="00ED435D">
              <w:t>Suely</w:t>
            </w:r>
            <w:proofErr w:type="spellEnd"/>
            <w:r w:rsidRPr="00ED435D">
              <w:t xml:space="preserve"> (2005) </w:t>
            </w:r>
            <w:proofErr w:type="spellStart"/>
            <w:r w:rsidRPr="00315CDE">
              <w:rPr>
                <w:u w:val="single"/>
              </w:rPr>
              <w:t>Micropolítica</w:t>
            </w:r>
            <w:proofErr w:type="spellEnd"/>
            <w:r w:rsidRPr="00315CDE">
              <w:rPr>
                <w:u w:val="single"/>
              </w:rPr>
              <w:t>. Cartografías del deseo</w:t>
            </w:r>
            <w:r w:rsidRPr="00ED435D">
              <w:t>, Buenos Aires. Editorial Tinta limón.</w:t>
            </w:r>
          </w:p>
          <w:p w:rsidR="002C489C" w:rsidRPr="00ED435D" w:rsidRDefault="008700AE" w:rsidP="002C489C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ED435D">
              <w:t xml:space="preserve">Osorio, Francisco (1998). </w:t>
            </w:r>
            <w:r>
              <w:t>“</w:t>
            </w:r>
            <w:r w:rsidRPr="00ED435D">
              <w:t xml:space="preserve">El sentido y El Otro. Un ensayo desde </w:t>
            </w:r>
            <w:proofErr w:type="spellStart"/>
            <w:r w:rsidRPr="00ED435D">
              <w:t>Clifford</w:t>
            </w:r>
            <w:proofErr w:type="spellEnd"/>
            <w:r w:rsidRPr="00ED435D">
              <w:t xml:space="preserve"> </w:t>
            </w:r>
            <w:proofErr w:type="spellStart"/>
            <w:r w:rsidRPr="00ED435D">
              <w:t>Geertz</w:t>
            </w:r>
            <w:proofErr w:type="spellEnd"/>
            <w:r w:rsidRPr="00ED435D">
              <w:t xml:space="preserve">, Gilles Deleuze y Jean </w:t>
            </w:r>
            <w:proofErr w:type="spellStart"/>
            <w:r w:rsidRPr="00ED435D">
              <w:t>Baudrillard</w:t>
            </w:r>
            <w:proofErr w:type="spellEnd"/>
            <w:r>
              <w:t>”</w:t>
            </w:r>
            <w:r w:rsidRPr="00ED435D">
              <w:t xml:space="preserve">. </w:t>
            </w:r>
            <w:r w:rsidRPr="00315CDE">
              <w:t xml:space="preserve">Disponible en </w:t>
            </w:r>
            <w:hyperlink r:id="rId5" w:history="1">
              <w:r w:rsidRPr="00315CDE">
                <w:rPr>
                  <w:rStyle w:val="Hipervnculo"/>
                </w:rPr>
                <w:t>http://www.repositorio.uchile.cl/handle/2250/121561</w:t>
              </w:r>
            </w:hyperlink>
            <w:r w:rsidR="002C489C" w:rsidRPr="00ED435D">
              <w:t xml:space="preserve">Pérez Soto, Carlos (2008). </w:t>
            </w:r>
            <w:r w:rsidR="002C489C" w:rsidRPr="00315CDE">
              <w:rPr>
                <w:u w:val="single"/>
              </w:rPr>
              <w:t>Para una crítica del poder burocrático. Comunistas otra vez.</w:t>
            </w:r>
            <w:r w:rsidR="002C489C" w:rsidRPr="00ED435D">
              <w:t xml:space="preserve"> Dolmen</w:t>
            </w:r>
            <w:r w:rsidR="002C489C">
              <w:t>,</w:t>
            </w:r>
            <w:r w:rsidR="002C489C" w:rsidRPr="00ED435D">
              <w:t xml:space="preserve"> Santiago</w:t>
            </w:r>
            <w:r w:rsidR="002C489C">
              <w:t>.</w:t>
            </w:r>
          </w:p>
          <w:p w:rsidR="00B3046A" w:rsidRPr="00445497" w:rsidRDefault="002C489C" w:rsidP="0014655A">
            <w:pPr>
              <w:pStyle w:val="Prrafodelista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F3F3F"/>
                <w:lang w:eastAsia="es-CL"/>
              </w:rPr>
            </w:pPr>
            <w:proofErr w:type="spellStart"/>
            <w:r w:rsidRPr="00315CDE">
              <w:t>Zizek</w:t>
            </w:r>
            <w:proofErr w:type="spellEnd"/>
            <w:r w:rsidRPr="00315CDE">
              <w:t xml:space="preserve">, </w:t>
            </w:r>
            <w:proofErr w:type="spellStart"/>
            <w:r w:rsidRPr="00315CDE">
              <w:t>Slavoj</w:t>
            </w:r>
            <w:proofErr w:type="spellEnd"/>
            <w:r w:rsidRPr="00315CDE">
              <w:t xml:space="preserve"> (2006). </w:t>
            </w:r>
            <w:r w:rsidRPr="0014655A">
              <w:rPr>
                <w:u w:val="single"/>
              </w:rPr>
              <w:t>Órganos sin cuerpos. Sobre Deleuze y consecuencias.</w:t>
            </w:r>
            <w:r w:rsidRPr="00315CDE">
              <w:t xml:space="preserve"> </w:t>
            </w:r>
            <w:r>
              <w:t>Pre-Textos, Valencia.</w:t>
            </w:r>
          </w:p>
        </w:tc>
      </w:tr>
    </w:tbl>
    <w:p w:rsidR="00445497" w:rsidRDefault="00445497"/>
    <w:sectPr w:rsidR="00445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2482"/>
    <w:multiLevelType w:val="hybridMultilevel"/>
    <w:tmpl w:val="99AC099A"/>
    <w:lvl w:ilvl="0" w:tplc="CEF04A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D10E5F"/>
    <w:multiLevelType w:val="hybridMultilevel"/>
    <w:tmpl w:val="26AC1B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F88"/>
    <w:multiLevelType w:val="hybridMultilevel"/>
    <w:tmpl w:val="727ECF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F37"/>
    <w:multiLevelType w:val="hybridMultilevel"/>
    <w:tmpl w:val="FB56B29A"/>
    <w:lvl w:ilvl="0" w:tplc="2BEC6A0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13A38"/>
    <w:multiLevelType w:val="hybridMultilevel"/>
    <w:tmpl w:val="26A04908"/>
    <w:lvl w:ilvl="0" w:tplc="82EE6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630286"/>
    <w:multiLevelType w:val="hybridMultilevel"/>
    <w:tmpl w:val="9E3E21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961C3B"/>
    <w:multiLevelType w:val="hybridMultilevel"/>
    <w:tmpl w:val="95AC96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554CF"/>
    <w:multiLevelType w:val="hybridMultilevel"/>
    <w:tmpl w:val="2C4A69A6"/>
    <w:lvl w:ilvl="0" w:tplc="8CFC1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C1508"/>
    <w:multiLevelType w:val="hybridMultilevel"/>
    <w:tmpl w:val="FA8EB4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C869E6"/>
    <w:multiLevelType w:val="hybridMultilevel"/>
    <w:tmpl w:val="BE2C23FC"/>
    <w:lvl w:ilvl="0" w:tplc="8CFC1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660897"/>
    <w:multiLevelType w:val="hybridMultilevel"/>
    <w:tmpl w:val="5E7E67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7"/>
    <w:rsid w:val="00040F34"/>
    <w:rsid w:val="000E697B"/>
    <w:rsid w:val="0014655A"/>
    <w:rsid w:val="00176957"/>
    <w:rsid w:val="001B6B52"/>
    <w:rsid w:val="001B7E49"/>
    <w:rsid w:val="00251597"/>
    <w:rsid w:val="002521C6"/>
    <w:rsid w:val="002C489C"/>
    <w:rsid w:val="002F0D58"/>
    <w:rsid w:val="003169D5"/>
    <w:rsid w:val="00435BD0"/>
    <w:rsid w:val="00445497"/>
    <w:rsid w:val="00472932"/>
    <w:rsid w:val="004A0A1A"/>
    <w:rsid w:val="004C6A61"/>
    <w:rsid w:val="004D5FD4"/>
    <w:rsid w:val="004F0834"/>
    <w:rsid w:val="005A7E6F"/>
    <w:rsid w:val="005D0D38"/>
    <w:rsid w:val="00624542"/>
    <w:rsid w:val="00625536"/>
    <w:rsid w:val="00627A64"/>
    <w:rsid w:val="006C680B"/>
    <w:rsid w:val="00713DCB"/>
    <w:rsid w:val="00726023"/>
    <w:rsid w:val="00731DA7"/>
    <w:rsid w:val="0079751F"/>
    <w:rsid w:val="008700AE"/>
    <w:rsid w:val="008D581F"/>
    <w:rsid w:val="00904661"/>
    <w:rsid w:val="0096385C"/>
    <w:rsid w:val="009824D8"/>
    <w:rsid w:val="00A45706"/>
    <w:rsid w:val="00A768CE"/>
    <w:rsid w:val="00B3046A"/>
    <w:rsid w:val="00B63437"/>
    <w:rsid w:val="00B72067"/>
    <w:rsid w:val="00C36850"/>
    <w:rsid w:val="00C615E7"/>
    <w:rsid w:val="00DC64EF"/>
    <w:rsid w:val="00FA2F18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11826D-2E21-4BF9-B89B-F528939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A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sitorio.uchile.cl/handle/2250/121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Aguirre Castillo</dc:creator>
  <cp:lastModifiedBy>Miguel Urrutia</cp:lastModifiedBy>
  <cp:revision>2</cp:revision>
  <dcterms:created xsi:type="dcterms:W3CDTF">2018-04-16T19:46:00Z</dcterms:created>
  <dcterms:modified xsi:type="dcterms:W3CDTF">2018-04-16T19:46:00Z</dcterms:modified>
</cp:coreProperties>
</file>