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48C" w:rsidRDefault="007C448C" w:rsidP="007C448C">
      <w:pPr>
        <w:jc w:val="center"/>
        <w:rPr>
          <w:rFonts w:ascii="Calibri" w:hAnsi="Calibri" w:cs="Calibri"/>
          <w:b/>
          <w:u w:val="single"/>
          <w:lang w:val="es-419"/>
        </w:rPr>
      </w:pPr>
      <w:r>
        <w:rPr>
          <w:rFonts w:ascii="Calibri" w:hAnsi="Calibri" w:cs="Calibri"/>
          <w:b/>
          <w:u w:val="single"/>
          <w:lang w:val="es-419"/>
        </w:rPr>
        <w:t>Homeopatía</w:t>
      </w:r>
    </w:p>
    <w:p w:rsidR="007C448C" w:rsidRPr="007C448C" w:rsidRDefault="007C448C" w:rsidP="007C448C">
      <w:pPr>
        <w:jc w:val="center"/>
        <w:rPr>
          <w:rFonts w:ascii="Calibri" w:hAnsi="Calibri" w:cs="Calibri"/>
          <w:b/>
          <w:u w:val="single"/>
          <w:lang w:val="es-419"/>
        </w:rPr>
      </w:pPr>
      <w:r>
        <w:rPr>
          <w:rFonts w:ascii="Calibri" w:hAnsi="Calibri" w:cs="Calibri"/>
          <w:b/>
          <w:u w:val="single"/>
          <w:lang w:val="es-419"/>
        </w:rPr>
        <w:t>Contra</w:t>
      </w:r>
    </w:p>
    <w:p w:rsidR="007C448C" w:rsidRDefault="007C448C" w:rsidP="007C448C">
      <w:pPr>
        <w:rPr>
          <w:rFonts w:ascii="Calibri" w:hAnsi="Calibri" w:cs="Calibri"/>
          <w:b/>
          <w:u w:val="single"/>
        </w:rPr>
      </w:pPr>
      <w:r>
        <w:rPr>
          <w:rFonts w:ascii="Calibri" w:hAnsi="Calibri" w:cs="Calibri"/>
          <w:b/>
          <w:u w:val="single"/>
        </w:rPr>
        <w:t>Argumentos</w:t>
      </w:r>
    </w:p>
    <w:p w:rsidR="00DB3ECC" w:rsidRPr="00A528F1" w:rsidRDefault="008A2EA6" w:rsidP="007C448C">
      <w:pPr>
        <w:rPr>
          <w:rFonts w:ascii="Calibri" w:hAnsi="Calibri" w:cs="Calibri"/>
        </w:rPr>
      </w:pPr>
      <w:bookmarkStart w:id="0" w:name="_GoBack"/>
      <w:bookmarkEnd w:id="0"/>
      <w:r w:rsidRPr="008A2EA6">
        <w:rPr>
          <w:rFonts w:ascii="Calibri" w:hAnsi="Calibri" w:cs="Calibri"/>
        </w:rPr>
        <w:t>Legislación sobre los remedios homeopáticos</w:t>
      </w:r>
      <w:r w:rsidR="00A528F1" w:rsidRPr="00484371">
        <w:rPr>
          <w:rFonts w:ascii="Calibri" w:hAnsi="Calibri" w:cs="Calibri"/>
        </w:rPr>
        <w:t>(Catalina Guerra)</w:t>
      </w:r>
      <w:r w:rsidRPr="00A528F1">
        <w:rPr>
          <w:rFonts w:ascii="Calibri" w:hAnsi="Calibri" w:cs="Calibri"/>
        </w:rPr>
        <w:t>:</w:t>
      </w:r>
    </w:p>
    <w:p w:rsidR="008A2EA6" w:rsidRDefault="008A2EA6" w:rsidP="008A2EA6">
      <w:pPr>
        <w:rPr>
          <w:rFonts w:ascii="Calibri" w:hAnsi="Calibri" w:cs="Calibri"/>
        </w:rPr>
      </w:pPr>
      <w:r>
        <w:rPr>
          <w:rFonts w:ascii="Calibri" w:hAnsi="Calibri" w:cs="Calibri"/>
        </w:rPr>
        <w:t>M</w:t>
      </w:r>
      <w:r w:rsidRPr="00484371">
        <w:rPr>
          <w:rFonts w:ascii="Calibri" w:hAnsi="Calibri" w:cs="Calibri"/>
        </w:rPr>
        <w:t>ecanismos regulatorios son ineficientes</w:t>
      </w:r>
    </w:p>
    <w:p w:rsidR="008A2EA6" w:rsidRDefault="008A2EA6" w:rsidP="008A2EA6">
      <w:r w:rsidRPr="008A2EA6">
        <w:t>Respaldo: art. 1 y art. Primero transitorio del decreto n°19 del ministerio de salud y subsecretaria de salud.</w:t>
      </w:r>
    </w:p>
    <w:p w:rsidR="008A2EA6" w:rsidRPr="00A528F1" w:rsidRDefault="00A528F1" w:rsidP="00A528F1">
      <w:pPr>
        <w:spacing w:line="276" w:lineRule="auto"/>
        <w:ind w:left="360"/>
        <w:jc w:val="both"/>
        <w:rPr>
          <w:rFonts w:ascii="Calibri" w:hAnsi="Calibri" w:cs="Calibri"/>
        </w:rPr>
      </w:pPr>
      <w:r>
        <w:t>2.</w:t>
      </w:r>
      <w:r w:rsidRPr="008A2EA6">
        <w:t xml:space="preserve"> Posibilidad</w:t>
      </w:r>
      <w:r w:rsidR="008A2EA6" w:rsidRPr="008A2EA6">
        <w:t xml:space="preserve"> de que la consulta homeopática pueda causar un efecto </w:t>
      </w:r>
      <w:r w:rsidRPr="008A2EA6">
        <w:t>placebo</w:t>
      </w:r>
      <w:r w:rsidRPr="00A528F1">
        <w:rPr>
          <w:rFonts w:ascii="Calibri" w:hAnsi="Calibri" w:cs="Calibri"/>
        </w:rPr>
        <w:t xml:space="preserve"> (Francisco Faundez)</w:t>
      </w:r>
      <w:r w:rsidR="008A2EA6">
        <w:t>:</w:t>
      </w:r>
    </w:p>
    <w:p w:rsidR="008A2EA6" w:rsidRDefault="008A2EA6" w:rsidP="008A2EA6">
      <w:r w:rsidRPr="008A2EA6">
        <w:t>El efecto emocional a la hora del tratamiento juega un rol fundamental que puede determinar la eficacia de un medicamento</w:t>
      </w:r>
      <w:r>
        <w:t>.</w:t>
      </w:r>
      <w:r w:rsidRPr="008A2EA6">
        <w:t xml:space="preserve"> Consultas de 1 hora, preguntas muy personales y un doctor que parece estar haciendo hasta su último esfuerzo un medicamento especialmente hecho para ti, a eso agréguenle un paciente desesperado y tendrán una situación que crea la expectativa de que el paciente se curara</w:t>
      </w:r>
    </w:p>
    <w:p w:rsidR="008A2EA6" w:rsidRDefault="008A2EA6" w:rsidP="008A2EA6">
      <w:r w:rsidRPr="00484371">
        <w:rPr>
          <w:rFonts w:ascii="Calibri" w:hAnsi="Calibri" w:cs="Calibri"/>
          <w:color w:val="2E74B5" w:themeColor="accent1" w:themeShade="BF"/>
        </w:rPr>
        <w:t>htt:/magonia.com/2013/12/18/recetar-productos-homeopaticos-no-es-un-acto-medico-según-la-organización-medica-colegial/</w:t>
      </w:r>
    </w:p>
    <w:p w:rsidR="008A2EA6" w:rsidRDefault="00A528F1" w:rsidP="00A528F1">
      <w:pPr>
        <w:ind w:left="360"/>
      </w:pPr>
      <w:r>
        <w:t>3.</w:t>
      </w:r>
      <w:r w:rsidRPr="008A2EA6">
        <w:t xml:space="preserve"> Eficacia</w:t>
      </w:r>
      <w:r w:rsidR="008A2EA6" w:rsidRPr="008A2EA6">
        <w:t xml:space="preserve"> de la </w:t>
      </w:r>
      <w:r w:rsidRPr="008A2EA6">
        <w:t>homeopatía</w:t>
      </w:r>
      <w:r w:rsidRPr="00A528F1">
        <w:t xml:space="preserve"> (Víctor Flores)</w:t>
      </w:r>
      <w:r w:rsidR="008A2EA6">
        <w:t>:</w:t>
      </w:r>
    </w:p>
    <w:p w:rsidR="008A2EA6" w:rsidRDefault="008A2EA6" w:rsidP="008A2EA6">
      <w:pPr>
        <w:ind w:left="360"/>
        <w:rPr>
          <w:rFonts w:ascii="Calibri" w:hAnsi="Calibri" w:cs="Calibri"/>
        </w:rPr>
      </w:pPr>
      <w:r w:rsidRPr="008A2EA6">
        <w:t>Vemos que la homeopatía trata de manera individual cada caso; cada enfermedad ligada a una persona en sí</w:t>
      </w:r>
      <w:r>
        <w:t>,</w:t>
      </w:r>
      <w:r>
        <w:rPr>
          <w:rFonts w:ascii="Calibri" w:hAnsi="Calibri" w:cs="Calibri"/>
        </w:rPr>
        <w:t xml:space="preserve"> siendo entonces cada medicamento  diferente de persona a persona siendo inútiles en otra, por lo que el tratamiento de cada paciente será mayormente basado en la opinión subjetiva del doctor al diagnosticarlo</w:t>
      </w:r>
    </w:p>
    <w:p w:rsidR="008A2EA6" w:rsidRPr="00484371" w:rsidRDefault="008A2EA6" w:rsidP="008A2EA6">
      <w:pPr>
        <w:spacing w:line="276" w:lineRule="auto"/>
        <w:jc w:val="both"/>
        <w:rPr>
          <w:rFonts w:ascii="Calibri" w:hAnsi="Calibri" w:cs="Calibri"/>
          <w:color w:val="2E74B5" w:themeColor="accent1" w:themeShade="BF"/>
        </w:rPr>
      </w:pPr>
      <w:r w:rsidRPr="00484371">
        <w:rPr>
          <w:rFonts w:ascii="Calibri" w:hAnsi="Calibri" w:cs="Calibri"/>
          <w:color w:val="2E74B5" w:themeColor="accent1" w:themeShade="BF"/>
        </w:rPr>
        <w:t>http://www.corriere.it/cronache/17_maggio_27/curano-l- otite-l- omeopatia-bimbo- 7-anni-coma- ad7af3e0-4250- 11e7-b153- e2fd0d43182d.shtml?refresh_ce-cp</w:t>
      </w:r>
    </w:p>
    <w:p w:rsidR="008A2EA6" w:rsidRDefault="008A2EA6" w:rsidP="008A2EA6">
      <w:pPr>
        <w:ind w:left="360"/>
        <w:rPr>
          <w:rFonts w:ascii="Calibri" w:hAnsi="Calibri" w:cs="Calibri"/>
        </w:rPr>
      </w:pPr>
    </w:p>
    <w:p w:rsidR="008A2EA6" w:rsidRPr="00A528F1" w:rsidRDefault="00A528F1" w:rsidP="00A528F1">
      <w:pPr>
        <w:ind w:left="360"/>
        <w:rPr>
          <w:rFonts w:ascii="Calibri" w:hAnsi="Calibri" w:cs="Calibri"/>
        </w:rPr>
      </w:pPr>
      <w:r>
        <w:rPr>
          <w:rFonts w:ascii="Calibri" w:hAnsi="Calibri" w:cs="Calibri"/>
        </w:rPr>
        <w:t>4.</w:t>
      </w:r>
      <w:r w:rsidRPr="00A528F1">
        <w:rPr>
          <w:rFonts w:ascii="Calibri" w:hAnsi="Calibri" w:cs="Calibri"/>
        </w:rPr>
        <w:t xml:space="preserve"> La</w:t>
      </w:r>
      <w:r w:rsidR="008A2EA6" w:rsidRPr="00A528F1">
        <w:rPr>
          <w:rFonts w:ascii="Calibri" w:hAnsi="Calibri" w:cs="Calibri"/>
        </w:rPr>
        <w:t xml:space="preserve"> homeopatía no tiene bases </w:t>
      </w:r>
      <w:r w:rsidRPr="00A528F1">
        <w:rPr>
          <w:rFonts w:ascii="Calibri" w:hAnsi="Calibri" w:cs="Calibri"/>
        </w:rPr>
        <w:t>científicas (Marta García)</w:t>
      </w:r>
      <w:r w:rsidR="008A2EA6" w:rsidRPr="00A528F1">
        <w:rPr>
          <w:rFonts w:ascii="Calibri" w:hAnsi="Calibri" w:cs="Calibri"/>
        </w:rPr>
        <w:t>:</w:t>
      </w:r>
    </w:p>
    <w:p w:rsidR="008A2EA6" w:rsidRDefault="008A2EA6" w:rsidP="008A2EA6">
      <w:pPr>
        <w:ind w:left="360"/>
        <w:rPr>
          <w:rFonts w:ascii="Calibri" w:hAnsi="Calibri" w:cs="Calibri"/>
        </w:rPr>
      </w:pPr>
      <w:r w:rsidRPr="008A2EA6">
        <w:rPr>
          <w:rFonts w:ascii="Calibri" w:hAnsi="Calibri" w:cs="Calibri"/>
        </w:rPr>
        <w:t>Ninguna investigación seria ha demostrado tener validez. En 2005, la revista médica The Lancet publicó un meta</w:t>
      </w:r>
      <w:r>
        <w:rPr>
          <w:rFonts w:ascii="Calibri" w:hAnsi="Calibri" w:cs="Calibri"/>
        </w:rPr>
        <w:t xml:space="preserve"> </w:t>
      </w:r>
      <w:r w:rsidRPr="008A2EA6">
        <w:rPr>
          <w:rFonts w:ascii="Calibri" w:hAnsi="Calibri" w:cs="Calibri"/>
        </w:rPr>
        <w:t>análisis de 110 ensayos de homeopatía y 110 ensayos homólogos de la medicina convencional, ambos controlados por placebo, en el marco del Programa de evaluación de la medicina complementaria (PEK) del gobierno suizo. El estudio concluyó que sus hallazgos son «compatibles con la noción de que los efectos clínicos de la homeopatía son efectos placebo». En 2011, una revisión sistemática de 25 ensayos que habían experimentado homeopatía para enfermedades psiquiátricas no encontró evidencia de su efecto para la mayoría de las enfermedades y notó que la calidad de los estudios primarios era en cualquier caso demasiado pobres para extraer conclusión alguna sobre su seguridad o efectividad</w:t>
      </w:r>
    </w:p>
    <w:p w:rsidR="008A2EA6" w:rsidRPr="00484371" w:rsidRDefault="007C448C" w:rsidP="008A2EA6">
      <w:pPr>
        <w:spacing w:line="276" w:lineRule="auto"/>
        <w:jc w:val="both"/>
        <w:rPr>
          <w:rFonts w:ascii="Calibri" w:hAnsi="Calibri" w:cs="Calibri"/>
          <w:color w:val="2E74B5" w:themeColor="accent1" w:themeShade="BF"/>
        </w:rPr>
      </w:pPr>
      <w:hyperlink r:id="rId5" w:history="1">
        <w:r w:rsidR="008A2EA6" w:rsidRPr="00DB69ED">
          <w:rPr>
            <w:rStyle w:val="Hipervnculo"/>
            <w:rFonts w:ascii="Calibri" w:hAnsi="Calibri" w:cs="Calibri"/>
          </w:rPr>
          <w:t>https://www.csicop.org/specialarticles/show/la_homeopatia_es_una_farsa</w:t>
        </w:r>
      </w:hyperlink>
      <w:r w:rsidR="008A2EA6">
        <w:rPr>
          <w:rFonts w:ascii="Calibri" w:hAnsi="Calibri" w:cs="Calibri"/>
          <w:color w:val="2E74B5" w:themeColor="accent1" w:themeShade="BF"/>
        </w:rPr>
        <w:t xml:space="preserve"> </w:t>
      </w:r>
      <w:hyperlink r:id="rId6" w:history="1">
        <w:r w:rsidR="008A2EA6" w:rsidRPr="00484371">
          <w:rPr>
            <w:rStyle w:val="Hipervnculo"/>
            <w:rFonts w:ascii="Calibri" w:hAnsi="Calibri" w:cs="Calibri"/>
          </w:rPr>
          <w:t>https://elpais.com/sociedad/2009/08/20/actualidad/1250719212_850215.html</w:t>
        </w:r>
      </w:hyperlink>
    </w:p>
    <w:p w:rsidR="008A2EA6" w:rsidRPr="008A2EA6" w:rsidRDefault="00A528F1" w:rsidP="008A2EA6">
      <w:pPr>
        <w:rPr>
          <w:rFonts w:ascii="Calibri" w:hAnsi="Calibri" w:cs="Calibri"/>
        </w:rPr>
      </w:pPr>
      <w:r>
        <w:rPr>
          <w:rFonts w:ascii="Calibri" w:hAnsi="Calibri" w:cs="Calibri"/>
        </w:rPr>
        <w:lastRenderedPageBreak/>
        <w:t xml:space="preserve">       </w:t>
      </w:r>
      <w:r w:rsidRPr="008A2EA6">
        <w:rPr>
          <w:rFonts w:ascii="Calibri" w:hAnsi="Calibri" w:cs="Calibri"/>
        </w:rPr>
        <w:t>5. La</w:t>
      </w:r>
      <w:r w:rsidR="008A2EA6" w:rsidRPr="008A2EA6">
        <w:rPr>
          <w:rFonts w:ascii="Calibri" w:hAnsi="Calibri" w:cs="Calibri"/>
        </w:rPr>
        <w:t xml:space="preserve"> homeopatía no es </w:t>
      </w:r>
      <w:r w:rsidRPr="008A2EA6">
        <w:rPr>
          <w:rFonts w:ascii="Calibri" w:hAnsi="Calibri" w:cs="Calibri"/>
        </w:rPr>
        <w:t>medicina</w:t>
      </w:r>
      <w:r w:rsidRPr="00A528F1">
        <w:rPr>
          <w:rFonts w:ascii="Calibri" w:hAnsi="Calibri" w:cs="Calibri"/>
        </w:rPr>
        <w:t xml:space="preserve"> (Rodrigo del valle)</w:t>
      </w:r>
      <w:r>
        <w:rPr>
          <w:rFonts w:ascii="Calibri" w:hAnsi="Calibri" w:cs="Calibri"/>
        </w:rPr>
        <w:t>:</w:t>
      </w:r>
    </w:p>
    <w:p w:rsidR="00A528F1" w:rsidRDefault="008A2EA6" w:rsidP="00A528F1">
      <w:r w:rsidRPr="00484371">
        <w:rPr>
          <w:rFonts w:ascii="Calibri" w:hAnsi="Calibri" w:cs="Calibri"/>
        </w:rPr>
        <w:t xml:space="preserve">La homeopatía no utiliza fármacos, ya que sus preparaciones no </w:t>
      </w:r>
      <w:r w:rsidR="00A528F1" w:rsidRPr="00484371">
        <w:rPr>
          <w:rFonts w:ascii="Calibri" w:hAnsi="Calibri" w:cs="Calibri"/>
        </w:rPr>
        <w:t>presentan</w:t>
      </w:r>
      <w:r w:rsidRPr="00484371">
        <w:rPr>
          <w:rFonts w:ascii="Calibri" w:hAnsi="Calibri" w:cs="Calibri"/>
        </w:rPr>
        <w:t xml:space="preserve"> principios activos que permitan curar alguna dolencia o enfermedad, cada producto homeopático está formado por diluciones extremas a base de agua, por lo tanto el eventual principio activo se pierde a medida que se va diluyendo sucesivamente</w:t>
      </w:r>
      <w:r w:rsidR="00A528F1">
        <w:rPr>
          <w:rFonts w:ascii="Calibri" w:hAnsi="Calibri" w:cs="Calibri"/>
        </w:rPr>
        <w:t>.</w:t>
      </w:r>
      <w:r w:rsidR="00A528F1" w:rsidRPr="00A528F1">
        <w:t xml:space="preserve"> </w:t>
      </w:r>
    </w:p>
    <w:p w:rsidR="00A528F1" w:rsidRDefault="007C448C" w:rsidP="00A528F1">
      <w:hyperlink r:id="rId7" w:history="1">
        <w:r w:rsidR="00A528F1" w:rsidRPr="00DB69ED">
          <w:rPr>
            <w:rStyle w:val="Hipervnculo"/>
          </w:rPr>
          <w:t>https://www.etilmercurio.com/em/homeopatia-medicina-diluida/</w:t>
        </w:r>
      </w:hyperlink>
      <w:r w:rsidR="00A528F1">
        <w:t xml:space="preserve"> </w:t>
      </w:r>
      <w:hyperlink r:id="rId8" w:history="1">
        <w:r w:rsidR="00A528F1" w:rsidRPr="00DB69ED">
          <w:rPr>
            <w:rStyle w:val="Hipervnculo"/>
          </w:rPr>
          <w:t>https://medlineplus.gov/spanish/druginfo/natural/1080.html</w:t>
        </w:r>
      </w:hyperlink>
    </w:p>
    <w:p w:rsidR="008A2EA6" w:rsidRPr="008A2EA6" w:rsidRDefault="008A2EA6" w:rsidP="008A2EA6">
      <w:pPr>
        <w:ind w:left="360"/>
        <w:rPr>
          <w:rFonts w:ascii="Calibri" w:hAnsi="Calibri" w:cs="Calibri"/>
        </w:rPr>
      </w:pPr>
    </w:p>
    <w:p w:rsidR="008A2EA6" w:rsidRDefault="008A2EA6" w:rsidP="008A2EA6">
      <w:pPr>
        <w:pStyle w:val="Prrafodelista"/>
      </w:pPr>
    </w:p>
    <w:p w:rsidR="008A2EA6" w:rsidRDefault="008A2EA6" w:rsidP="008A2EA6">
      <w:pPr>
        <w:pStyle w:val="Prrafodelista"/>
      </w:pPr>
    </w:p>
    <w:p w:rsidR="008A2EA6" w:rsidRPr="008A2EA6" w:rsidRDefault="008A2EA6" w:rsidP="008A2EA6">
      <w:pPr>
        <w:pStyle w:val="Prrafodelista"/>
      </w:pPr>
    </w:p>
    <w:sectPr w:rsidR="008A2EA6" w:rsidRPr="008A2EA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560440"/>
    <w:multiLevelType w:val="hybridMultilevel"/>
    <w:tmpl w:val="211A4DCA"/>
    <w:lvl w:ilvl="0" w:tplc="340A0001">
      <w:start w:val="1"/>
      <w:numFmt w:val="bullet"/>
      <w:lvlText w:val=""/>
      <w:lvlJc w:val="left"/>
      <w:pPr>
        <w:ind w:left="6900" w:hanging="360"/>
      </w:pPr>
      <w:rPr>
        <w:rFonts w:ascii="Symbol" w:hAnsi="Symbol" w:hint="default"/>
      </w:rPr>
    </w:lvl>
    <w:lvl w:ilvl="1" w:tplc="340A0003" w:tentative="1">
      <w:start w:val="1"/>
      <w:numFmt w:val="bullet"/>
      <w:lvlText w:val="o"/>
      <w:lvlJc w:val="left"/>
      <w:pPr>
        <w:ind w:left="7620" w:hanging="360"/>
      </w:pPr>
      <w:rPr>
        <w:rFonts w:ascii="Courier New" w:hAnsi="Courier New" w:cs="Courier New" w:hint="default"/>
      </w:rPr>
    </w:lvl>
    <w:lvl w:ilvl="2" w:tplc="340A0005" w:tentative="1">
      <w:start w:val="1"/>
      <w:numFmt w:val="bullet"/>
      <w:lvlText w:val=""/>
      <w:lvlJc w:val="left"/>
      <w:pPr>
        <w:ind w:left="8340" w:hanging="360"/>
      </w:pPr>
      <w:rPr>
        <w:rFonts w:ascii="Wingdings" w:hAnsi="Wingdings" w:hint="default"/>
      </w:rPr>
    </w:lvl>
    <w:lvl w:ilvl="3" w:tplc="340A0001" w:tentative="1">
      <w:start w:val="1"/>
      <w:numFmt w:val="bullet"/>
      <w:lvlText w:val=""/>
      <w:lvlJc w:val="left"/>
      <w:pPr>
        <w:ind w:left="9060" w:hanging="360"/>
      </w:pPr>
      <w:rPr>
        <w:rFonts w:ascii="Symbol" w:hAnsi="Symbol" w:hint="default"/>
      </w:rPr>
    </w:lvl>
    <w:lvl w:ilvl="4" w:tplc="340A0003" w:tentative="1">
      <w:start w:val="1"/>
      <w:numFmt w:val="bullet"/>
      <w:lvlText w:val="o"/>
      <w:lvlJc w:val="left"/>
      <w:pPr>
        <w:ind w:left="9780" w:hanging="360"/>
      </w:pPr>
      <w:rPr>
        <w:rFonts w:ascii="Courier New" w:hAnsi="Courier New" w:cs="Courier New" w:hint="default"/>
      </w:rPr>
    </w:lvl>
    <w:lvl w:ilvl="5" w:tplc="340A0005" w:tentative="1">
      <w:start w:val="1"/>
      <w:numFmt w:val="bullet"/>
      <w:lvlText w:val=""/>
      <w:lvlJc w:val="left"/>
      <w:pPr>
        <w:ind w:left="10500" w:hanging="360"/>
      </w:pPr>
      <w:rPr>
        <w:rFonts w:ascii="Wingdings" w:hAnsi="Wingdings" w:hint="default"/>
      </w:rPr>
    </w:lvl>
    <w:lvl w:ilvl="6" w:tplc="340A0001" w:tentative="1">
      <w:start w:val="1"/>
      <w:numFmt w:val="bullet"/>
      <w:lvlText w:val=""/>
      <w:lvlJc w:val="left"/>
      <w:pPr>
        <w:ind w:left="11220" w:hanging="360"/>
      </w:pPr>
      <w:rPr>
        <w:rFonts w:ascii="Symbol" w:hAnsi="Symbol" w:hint="default"/>
      </w:rPr>
    </w:lvl>
    <w:lvl w:ilvl="7" w:tplc="340A0003" w:tentative="1">
      <w:start w:val="1"/>
      <w:numFmt w:val="bullet"/>
      <w:lvlText w:val="o"/>
      <w:lvlJc w:val="left"/>
      <w:pPr>
        <w:ind w:left="11940" w:hanging="360"/>
      </w:pPr>
      <w:rPr>
        <w:rFonts w:ascii="Courier New" w:hAnsi="Courier New" w:cs="Courier New" w:hint="default"/>
      </w:rPr>
    </w:lvl>
    <w:lvl w:ilvl="8" w:tplc="340A0005" w:tentative="1">
      <w:start w:val="1"/>
      <w:numFmt w:val="bullet"/>
      <w:lvlText w:val=""/>
      <w:lvlJc w:val="left"/>
      <w:pPr>
        <w:ind w:left="12660" w:hanging="360"/>
      </w:pPr>
      <w:rPr>
        <w:rFonts w:ascii="Wingdings" w:hAnsi="Wingdings" w:hint="default"/>
      </w:rPr>
    </w:lvl>
  </w:abstractNum>
  <w:abstractNum w:abstractNumId="1">
    <w:nsid w:val="499A4DC0"/>
    <w:multiLevelType w:val="hybridMultilevel"/>
    <w:tmpl w:val="96E69B98"/>
    <w:lvl w:ilvl="0" w:tplc="FBFEC274">
      <w:start w:val="5"/>
      <w:numFmt w:val="bullet"/>
      <w:lvlText w:val="-"/>
      <w:lvlJc w:val="left"/>
      <w:pPr>
        <w:ind w:left="7260" w:hanging="360"/>
      </w:pPr>
      <w:rPr>
        <w:rFonts w:ascii="Calibri" w:eastAsiaTheme="minorHAnsi" w:hAnsi="Calibri" w:cs="Calibri" w:hint="default"/>
      </w:rPr>
    </w:lvl>
    <w:lvl w:ilvl="1" w:tplc="340A0003" w:tentative="1">
      <w:start w:val="1"/>
      <w:numFmt w:val="bullet"/>
      <w:lvlText w:val="o"/>
      <w:lvlJc w:val="left"/>
      <w:pPr>
        <w:ind w:left="7980" w:hanging="360"/>
      </w:pPr>
      <w:rPr>
        <w:rFonts w:ascii="Courier New" w:hAnsi="Courier New" w:cs="Courier New" w:hint="default"/>
      </w:rPr>
    </w:lvl>
    <w:lvl w:ilvl="2" w:tplc="340A0005" w:tentative="1">
      <w:start w:val="1"/>
      <w:numFmt w:val="bullet"/>
      <w:lvlText w:val=""/>
      <w:lvlJc w:val="left"/>
      <w:pPr>
        <w:ind w:left="8700" w:hanging="360"/>
      </w:pPr>
      <w:rPr>
        <w:rFonts w:ascii="Wingdings" w:hAnsi="Wingdings" w:hint="default"/>
      </w:rPr>
    </w:lvl>
    <w:lvl w:ilvl="3" w:tplc="340A0001" w:tentative="1">
      <w:start w:val="1"/>
      <w:numFmt w:val="bullet"/>
      <w:lvlText w:val=""/>
      <w:lvlJc w:val="left"/>
      <w:pPr>
        <w:ind w:left="9420" w:hanging="360"/>
      </w:pPr>
      <w:rPr>
        <w:rFonts w:ascii="Symbol" w:hAnsi="Symbol" w:hint="default"/>
      </w:rPr>
    </w:lvl>
    <w:lvl w:ilvl="4" w:tplc="340A0003" w:tentative="1">
      <w:start w:val="1"/>
      <w:numFmt w:val="bullet"/>
      <w:lvlText w:val="o"/>
      <w:lvlJc w:val="left"/>
      <w:pPr>
        <w:ind w:left="10140" w:hanging="360"/>
      </w:pPr>
      <w:rPr>
        <w:rFonts w:ascii="Courier New" w:hAnsi="Courier New" w:cs="Courier New" w:hint="default"/>
      </w:rPr>
    </w:lvl>
    <w:lvl w:ilvl="5" w:tplc="340A0005" w:tentative="1">
      <w:start w:val="1"/>
      <w:numFmt w:val="bullet"/>
      <w:lvlText w:val=""/>
      <w:lvlJc w:val="left"/>
      <w:pPr>
        <w:ind w:left="10860" w:hanging="360"/>
      </w:pPr>
      <w:rPr>
        <w:rFonts w:ascii="Wingdings" w:hAnsi="Wingdings" w:hint="default"/>
      </w:rPr>
    </w:lvl>
    <w:lvl w:ilvl="6" w:tplc="340A0001" w:tentative="1">
      <w:start w:val="1"/>
      <w:numFmt w:val="bullet"/>
      <w:lvlText w:val=""/>
      <w:lvlJc w:val="left"/>
      <w:pPr>
        <w:ind w:left="11580" w:hanging="360"/>
      </w:pPr>
      <w:rPr>
        <w:rFonts w:ascii="Symbol" w:hAnsi="Symbol" w:hint="default"/>
      </w:rPr>
    </w:lvl>
    <w:lvl w:ilvl="7" w:tplc="340A0003" w:tentative="1">
      <w:start w:val="1"/>
      <w:numFmt w:val="bullet"/>
      <w:lvlText w:val="o"/>
      <w:lvlJc w:val="left"/>
      <w:pPr>
        <w:ind w:left="12300" w:hanging="360"/>
      </w:pPr>
      <w:rPr>
        <w:rFonts w:ascii="Courier New" w:hAnsi="Courier New" w:cs="Courier New" w:hint="default"/>
      </w:rPr>
    </w:lvl>
    <w:lvl w:ilvl="8" w:tplc="340A0005" w:tentative="1">
      <w:start w:val="1"/>
      <w:numFmt w:val="bullet"/>
      <w:lvlText w:val=""/>
      <w:lvlJc w:val="left"/>
      <w:pPr>
        <w:ind w:left="13020" w:hanging="360"/>
      </w:pPr>
      <w:rPr>
        <w:rFonts w:ascii="Wingdings" w:hAnsi="Wingdings" w:hint="default"/>
      </w:rPr>
    </w:lvl>
  </w:abstractNum>
  <w:abstractNum w:abstractNumId="2">
    <w:nsid w:val="673B05D1"/>
    <w:multiLevelType w:val="hybridMultilevel"/>
    <w:tmpl w:val="373098A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68BB119F"/>
    <w:multiLevelType w:val="hybridMultilevel"/>
    <w:tmpl w:val="7E20015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EA6"/>
    <w:rsid w:val="007C448C"/>
    <w:rsid w:val="008A2EA6"/>
    <w:rsid w:val="00A528F1"/>
    <w:rsid w:val="00A849C7"/>
    <w:rsid w:val="00DB3EC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082297-C2DC-46CB-9ED5-922FD490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EA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2EA6"/>
    <w:pPr>
      <w:ind w:left="720"/>
      <w:contextualSpacing/>
    </w:pPr>
  </w:style>
  <w:style w:type="character" w:styleId="Hipervnculo">
    <w:name w:val="Hyperlink"/>
    <w:basedOn w:val="Fuentedeprrafopredeter"/>
    <w:uiPriority w:val="99"/>
    <w:unhideWhenUsed/>
    <w:rsid w:val="008A2E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lineplus.gov/spanish/druginfo/natural/1080.html" TargetMode="External"/><Relationship Id="rId3" Type="http://schemas.openxmlformats.org/officeDocument/2006/relationships/settings" Target="settings.xml"/><Relationship Id="rId7" Type="http://schemas.openxmlformats.org/officeDocument/2006/relationships/hyperlink" Target="https://www.etilmercurio.com/em/homeopatia-medicina-dilui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pais.com/sociedad/2009/08/20/actualidad/1250719212_850215.html" TargetMode="External"/><Relationship Id="rId5" Type="http://schemas.openxmlformats.org/officeDocument/2006/relationships/hyperlink" Target="https://www.csicop.org/specialarticles/show/la_homeopatia_es_una_fars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492</Words>
  <Characters>2712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Alumnos</dc:creator>
  <cp:keywords/>
  <dc:description/>
  <cp:lastModifiedBy>David</cp:lastModifiedBy>
  <cp:revision>3</cp:revision>
  <dcterms:created xsi:type="dcterms:W3CDTF">2018-04-09T13:39:00Z</dcterms:created>
  <dcterms:modified xsi:type="dcterms:W3CDTF">2018-04-09T17:31:00Z</dcterms:modified>
</cp:coreProperties>
</file>