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78BBD" w14:textId="77777777" w:rsidR="00983198" w:rsidRDefault="00983198" w:rsidP="004039D6">
      <w:pPr>
        <w:spacing w:after="0" w:line="240" w:lineRule="auto"/>
        <w:jc w:val="center"/>
        <w:rPr>
          <w:rFonts w:cs="Calibri"/>
          <w:b/>
        </w:rPr>
      </w:pPr>
    </w:p>
    <w:p w14:paraId="5398B6E3" w14:textId="77777777" w:rsidR="00B34C4F" w:rsidRDefault="00B34C4F" w:rsidP="004039D6">
      <w:pPr>
        <w:spacing w:after="0" w:line="240" w:lineRule="auto"/>
        <w:jc w:val="center"/>
        <w:rPr>
          <w:rFonts w:cs="Calibri"/>
          <w:b/>
        </w:rPr>
      </w:pPr>
      <w:r w:rsidRPr="005F1B6B">
        <w:rPr>
          <w:rFonts w:cs="Calibri"/>
          <w:b/>
        </w:rPr>
        <w:t>PROGRAMA DE CURSO</w:t>
      </w:r>
      <w:r>
        <w:rPr>
          <w:rFonts w:cs="Calibri"/>
          <w:b/>
        </w:rPr>
        <w:t xml:space="preserve"> </w:t>
      </w:r>
    </w:p>
    <w:p w14:paraId="24AD0B84" w14:textId="77777777" w:rsidR="004039D6" w:rsidRPr="005F1B6B" w:rsidRDefault="004039D6" w:rsidP="004039D6">
      <w:pPr>
        <w:spacing w:after="0" w:line="240" w:lineRule="auto"/>
        <w:jc w:val="center"/>
        <w:rPr>
          <w:rFonts w:cs="Calibri"/>
          <w:b/>
        </w:rPr>
      </w:pP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598"/>
        <w:gridCol w:w="1379"/>
        <w:gridCol w:w="3429"/>
      </w:tblGrid>
      <w:tr w:rsidR="00B34C4F" w:rsidRPr="00B94595" w14:paraId="6C78B248" w14:textId="77777777" w:rsidTr="00032CE6">
        <w:trPr>
          <w:trHeight w:val="315"/>
          <w:jc w:val="center"/>
        </w:trPr>
        <w:tc>
          <w:tcPr>
            <w:tcW w:w="4428" w:type="dxa"/>
            <w:gridSpan w:val="3"/>
            <w:shd w:val="clear" w:color="auto" w:fill="F2F2F2"/>
          </w:tcPr>
          <w:p w14:paraId="1D9F93C2" w14:textId="77777777" w:rsidR="00B34C4F" w:rsidRPr="00B94595" w:rsidRDefault="00B34C4F" w:rsidP="00032CE6">
            <w:pPr>
              <w:spacing w:after="0" w:line="240" w:lineRule="auto"/>
              <w:jc w:val="center"/>
              <w:rPr>
                <w:rFonts w:cs="Calibri"/>
                <w:b/>
              </w:rPr>
            </w:pPr>
            <w:r w:rsidRPr="00B94595">
              <w:rPr>
                <w:rFonts w:cs="Calibri"/>
                <w:b/>
              </w:rPr>
              <w:t>Unidad Académica</w:t>
            </w:r>
          </w:p>
        </w:tc>
        <w:tc>
          <w:tcPr>
            <w:tcW w:w="4808" w:type="dxa"/>
            <w:gridSpan w:val="2"/>
            <w:shd w:val="clear" w:color="auto" w:fill="F2F2F2"/>
          </w:tcPr>
          <w:p w14:paraId="0DF433ED" w14:textId="77777777" w:rsidR="00B34C4F" w:rsidRPr="00B94595" w:rsidRDefault="00B34C4F" w:rsidP="00032CE6">
            <w:pPr>
              <w:spacing w:after="0" w:line="240" w:lineRule="auto"/>
              <w:jc w:val="center"/>
              <w:rPr>
                <w:rFonts w:cs="Calibri"/>
                <w:b/>
              </w:rPr>
            </w:pPr>
            <w:r>
              <w:rPr>
                <w:rFonts w:cs="Calibri"/>
                <w:b/>
              </w:rPr>
              <w:t xml:space="preserve">Tipo de actividad curricular </w:t>
            </w:r>
          </w:p>
        </w:tc>
      </w:tr>
      <w:tr w:rsidR="00B34C4F" w:rsidRPr="00B94595" w14:paraId="44FAC4D9" w14:textId="77777777" w:rsidTr="00032CE6">
        <w:trPr>
          <w:trHeight w:val="315"/>
          <w:jc w:val="center"/>
        </w:trPr>
        <w:tc>
          <w:tcPr>
            <w:tcW w:w="4428" w:type="dxa"/>
            <w:gridSpan w:val="3"/>
            <w:shd w:val="clear" w:color="auto" w:fill="auto"/>
          </w:tcPr>
          <w:p w14:paraId="6D5C7448" w14:textId="77777777" w:rsidR="00B34C4F" w:rsidRPr="007042CD" w:rsidRDefault="00B34C4F" w:rsidP="00032CE6">
            <w:pPr>
              <w:spacing w:after="0" w:line="240" w:lineRule="auto"/>
              <w:jc w:val="center"/>
              <w:rPr>
                <w:rFonts w:cs="Calibri"/>
                <w:b/>
              </w:rPr>
            </w:pPr>
            <w:r w:rsidRPr="007042CD">
              <w:rPr>
                <w:rFonts w:cs="Calibri"/>
                <w:b/>
              </w:rPr>
              <w:t xml:space="preserve">Facultad de Ciencias Químicas y Farmacéuticas </w:t>
            </w:r>
          </w:p>
        </w:tc>
        <w:tc>
          <w:tcPr>
            <w:tcW w:w="4808" w:type="dxa"/>
            <w:gridSpan w:val="2"/>
            <w:shd w:val="clear" w:color="auto" w:fill="auto"/>
          </w:tcPr>
          <w:p w14:paraId="0EE5DF60" w14:textId="77777777" w:rsidR="00B34C4F" w:rsidRPr="007042CD" w:rsidRDefault="00B34C4F" w:rsidP="00032CE6">
            <w:pPr>
              <w:spacing w:after="0" w:line="240" w:lineRule="auto"/>
              <w:jc w:val="center"/>
              <w:rPr>
                <w:rFonts w:cs="Calibri"/>
                <w:b/>
              </w:rPr>
            </w:pPr>
            <w:r w:rsidRPr="007042CD">
              <w:rPr>
                <w:rFonts w:cs="Calibri"/>
                <w:b/>
              </w:rPr>
              <w:t>Electivo Especializado</w:t>
            </w:r>
            <w:r w:rsidR="002C3C91" w:rsidRPr="007042CD">
              <w:rPr>
                <w:rFonts w:cs="Calibri"/>
                <w:b/>
              </w:rPr>
              <w:t xml:space="preserve"> (EFE)</w:t>
            </w:r>
          </w:p>
          <w:p w14:paraId="23B72B09" w14:textId="77777777" w:rsidR="00B34C4F" w:rsidRPr="007042CD" w:rsidRDefault="00B34C4F" w:rsidP="00032CE6">
            <w:pPr>
              <w:spacing w:after="0" w:line="240" w:lineRule="auto"/>
              <w:jc w:val="center"/>
              <w:rPr>
                <w:rFonts w:cs="Calibri"/>
                <w:b/>
              </w:rPr>
            </w:pPr>
          </w:p>
        </w:tc>
      </w:tr>
      <w:tr w:rsidR="00B51C13" w:rsidRPr="00B94595" w14:paraId="4830C67C" w14:textId="77777777" w:rsidTr="00496F65">
        <w:trPr>
          <w:trHeight w:val="315"/>
          <w:jc w:val="center"/>
        </w:trPr>
        <w:tc>
          <w:tcPr>
            <w:tcW w:w="1413" w:type="dxa"/>
            <w:shd w:val="clear" w:color="auto" w:fill="F2F2F2" w:themeFill="background1" w:themeFillShade="F2"/>
          </w:tcPr>
          <w:p w14:paraId="635E84BC" w14:textId="77777777" w:rsidR="00B51C13" w:rsidRPr="007042CD" w:rsidRDefault="00B51C13" w:rsidP="00032CE6">
            <w:pPr>
              <w:spacing w:after="0" w:line="240" w:lineRule="auto"/>
              <w:jc w:val="center"/>
              <w:rPr>
                <w:rFonts w:cs="Calibri"/>
                <w:b/>
              </w:rPr>
            </w:pPr>
            <w:r w:rsidRPr="007042CD">
              <w:rPr>
                <w:rFonts w:cs="Calibri"/>
                <w:b/>
              </w:rPr>
              <w:t xml:space="preserve">Semestre </w:t>
            </w:r>
          </w:p>
        </w:tc>
        <w:tc>
          <w:tcPr>
            <w:tcW w:w="1417" w:type="dxa"/>
            <w:shd w:val="clear" w:color="auto" w:fill="F2F2F2" w:themeFill="background1" w:themeFillShade="F2"/>
          </w:tcPr>
          <w:p w14:paraId="3C16FA36" w14:textId="77777777" w:rsidR="00B51C13" w:rsidRPr="007042CD" w:rsidRDefault="00B51C13" w:rsidP="00032CE6">
            <w:pPr>
              <w:spacing w:after="0" w:line="240" w:lineRule="auto"/>
              <w:jc w:val="center"/>
              <w:rPr>
                <w:rFonts w:cs="Calibri"/>
                <w:b/>
              </w:rPr>
            </w:pPr>
            <w:r w:rsidRPr="007042CD">
              <w:rPr>
                <w:rFonts w:cs="Calibri"/>
                <w:b/>
              </w:rPr>
              <w:t>SCT</w:t>
            </w:r>
          </w:p>
        </w:tc>
        <w:tc>
          <w:tcPr>
            <w:tcW w:w="2977" w:type="dxa"/>
            <w:gridSpan w:val="2"/>
            <w:shd w:val="clear" w:color="auto" w:fill="F2F2F2" w:themeFill="background1" w:themeFillShade="F2"/>
          </w:tcPr>
          <w:p w14:paraId="5889C242" w14:textId="77777777" w:rsidR="00B51C13" w:rsidRPr="007042CD" w:rsidRDefault="00B51C13" w:rsidP="00032CE6">
            <w:pPr>
              <w:spacing w:after="0" w:line="240" w:lineRule="auto"/>
              <w:jc w:val="center"/>
              <w:rPr>
                <w:rFonts w:cs="Calibri"/>
                <w:b/>
              </w:rPr>
            </w:pPr>
            <w:r w:rsidRPr="007042CD">
              <w:rPr>
                <w:rFonts w:cs="Calibri"/>
                <w:b/>
              </w:rPr>
              <w:t>Horas de trabajo presencial</w:t>
            </w:r>
          </w:p>
        </w:tc>
        <w:tc>
          <w:tcPr>
            <w:tcW w:w="3429" w:type="dxa"/>
            <w:shd w:val="clear" w:color="auto" w:fill="F2F2F2" w:themeFill="background1" w:themeFillShade="F2"/>
          </w:tcPr>
          <w:p w14:paraId="37EE333F" w14:textId="77777777" w:rsidR="00B51C13" w:rsidRPr="007042CD" w:rsidRDefault="00B51C13" w:rsidP="00032CE6">
            <w:pPr>
              <w:spacing w:after="0" w:line="240" w:lineRule="auto"/>
              <w:jc w:val="center"/>
              <w:rPr>
                <w:rFonts w:cs="Calibri"/>
                <w:b/>
              </w:rPr>
            </w:pPr>
            <w:r w:rsidRPr="007042CD">
              <w:rPr>
                <w:rFonts w:cs="Calibri"/>
                <w:b/>
              </w:rPr>
              <w:t>Horas de trabajo no presencial</w:t>
            </w:r>
          </w:p>
        </w:tc>
      </w:tr>
      <w:tr w:rsidR="00B51C13" w:rsidRPr="00B94595" w14:paraId="72780C3D" w14:textId="77777777" w:rsidTr="00B51C13">
        <w:trPr>
          <w:trHeight w:val="315"/>
          <w:jc w:val="center"/>
        </w:trPr>
        <w:tc>
          <w:tcPr>
            <w:tcW w:w="1413" w:type="dxa"/>
            <w:shd w:val="clear" w:color="auto" w:fill="auto"/>
          </w:tcPr>
          <w:p w14:paraId="0D837E51" w14:textId="3C6A5426" w:rsidR="002C3C91" w:rsidRPr="007042CD" w:rsidRDefault="00FF5153" w:rsidP="00472BA3">
            <w:pPr>
              <w:spacing w:after="0" w:line="240" w:lineRule="auto"/>
              <w:jc w:val="center"/>
              <w:rPr>
                <w:rFonts w:cs="Calibri"/>
                <w:b/>
              </w:rPr>
            </w:pPr>
            <w:r>
              <w:rPr>
                <w:rFonts w:cs="Calibri"/>
                <w:b/>
              </w:rPr>
              <w:t>9°</w:t>
            </w:r>
          </w:p>
        </w:tc>
        <w:tc>
          <w:tcPr>
            <w:tcW w:w="1417" w:type="dxa"/>
            <w:shd w:val="clear" w:color="auto" w:fill="auto"/>
          </w:tcPr>
          <w:p w14:paraId="3E75850C" w14:textId="197BE398" w:rsidR="00164ECD" w:rsidRDefault="009C0F27" w:rsidP="008E32B3">
            <w:pPr>
              <w:spacing w:after="0" w:line="240" w:lineRule="auto"/>
              <w:jc w:val="center"/>
              <w:rPr>
                <w:rFonts w:cs="Calibri"/>
                <w:b/>
              </w:rPr>
            </w:pPr>
            <w:r>
              <w:rPr>
                <w:rFonts w:cs="Calibri"/>
                <w:b/>
              </w:rPr>
              <w:t>1</w:t>
            </w:r>
            <w:r w:rsidR="008E32B3">
              <w:rPr>
                <w:rFonts w:cs="Calibri"/>
                <w:b/>
              </w:rPr>
              <w:t xml:space="preserve"> </w:t>
            </w:r>
            <w:r w:rsidR="00164ECD">
              <w:rPr>
                <w:rFonts w:cs="Calibri"/>
                <w:b/>
              </w:rPr>
              <w:t>(teórico)</w:t>
            </w:r>
          </w:p>
          <w:p w14:paraId="0891A5D2" w14:textId="3A2C0BF2" w:rsidR="008E32B3" w:rsidRPr="007042CD" w:rsidRDefault="009C0F27" w:rsidP="00164ECD">
            <w:pPr>
              <w:spacing w:after="0" w:line="240" w:lineRule="auto"/>
              <w:jc w:val="center"/>
              <w:rPr>
                <w:rFonts w:cs="Calibri"/>
                <w:b/>
              </w:rPr>
            </w:pPr>
            <w:r>
              <w:rPr>
                <w:rFonts w:cs="Calibri"/>
                <w:b/>
              </w:rPr>
              <w:t>3</w:t>
            </w:r>
            <w:r w:rsidR="00164ECD">
              <w:rPr>
                <w:rFonts w:cs="Calibri"/>
                <w:b/>
              </w:rPr>
              <w:t xml:space="preserve"> (LAB)</w:t>
            </w:r>
          </w:p>
        </w:tc>
        <w:tc>
          <w:tcPr>
            <w:tcW w:w="2977" w:type="dxa"/>
            <w:gridSpan w:val="2"/>
            <w:shd w:val="clear" w:color="auto" w:fill="auto"/>
          </w:tcPr>
          <w:p w14:paraId="56932C33" w14:textId="1BA637CE" w:rsidR="00B51C13" w:rsidRPr="007042CD" w:rsidRDefault="009C0F27" w:rsidP="00032CE6">
            <w:pPr>
              <w:spacing w:after="0" w:line="240" w:lineRule="auto"/>
              <w:jc w:val="center"/>
              <w:rPr>
                <w:rFonts w:cs="Calibri"/>
                <w:b/>
              </w:rPr>
            </w:pPr>
            <w:r>
              <w:rPr>
                <w:rFonts w:cs="Calibri"/>
                <w:b/>
              </w:rPr>
              <w:t>64</w:t>
            </w:r>
          </w:p>
        </w:tc>
        <w:tc>
          <w:tcPr>
            <w:tcW w:w="3429" w:type="dxa"/>
            <w:shd w:val="clear" w:color="auto" w:fill="auto"/>
          </w:tcPr>
          <w:p w14:paraId="6713823B" w14:textId="59FCC18E" w:rsidR="00B51C13" w:rsidRPr="007042CD" w:rsidRDefault="009C0F27" w:rsidP="00032CE6">
            <w:pPr>
              <w:spacing w:after="0" w:line="240" w:lineRule="auto"/>
              <w:jc w:val="center"/>
              <w:rPr>
                <w:rFonts w:cs="Calibri"/>
                <w:b/>
              </w:rPr>
            </w:pPr>
            <w:r>
              <w:rPr>
                <w:rFonts w:cs="Calibri"/>
                <w:b/>
              </w:rPr>
              <w:t>38</w:t>
            </w:r>
          </w:p>
        </w:tc>
      </w:tr>
      <w:tr w:rsidR="00660085" w:rsidRPr="00B94595" w14:paraId="30A3A1FD" w14:textId="77777777" w:rsidTr="00496F65">
        <w:trPr>
          <w:trHeight w:val="315"/>
          <w:jc w:val="center"/>
        </w:trPr>
        <w:tc>
          <w:tcPr>
            <w:tcW w:w="2830" w:type="dxa"/>
            <w:gridSpan w:val="2"/>
            <w:shd w:val="clear" w:color="auto" w:fill="F2F2F2" w:themeFill="background1" w:themeFillShade="F2"/>
          </w:tcPr>
          <w:p w14:paraId="027A7534" w14:textId="77777777" w:rsidR="00660085" w:rsidRPr="007042CD" w:rsidRDefault="00660085" w:rsidP="00032CE6">
            <w:pPr>
              <w:spacing w:after="0" w:line="240" w:lineRule="auto"/>
              <w:jc w:val="center"/>
              <w:rPr>
                <w:rFonts w:cs="Calibri"/>
                <w:b/>
              </w:rPr>
            </w:pPr>
            <w:r w:rsidRPr="007042CD">
              <w:rPr>
                <w:rFonts w:cs="Calibri"/>
                <w:b/>
              </w:rPr>
              <w:t>Nombre de la actividad curricular</w:t>
            </w:r>
          </w:p>
        </w:tc>
        <w:tc>
          <w:tcPr>
            <w:tcW w:w="2977" w:type="dxa"/>
            <w:gridSpan w:val="2"/>
            <w:shd w:val="clear" w:color="auto" w:fill="F2F2F2" w:themeFill="background1" w:themeFillShade="F2"/>
          </w:tcPr>
          <w:p w14:paraId="2EEEF4E1" w14:textId="77777777" w:rsidR="00660085" w:rsidRPr="007042CD" w:rsidRDefault="00660085" w:rsidP="00032CE6">
            <w:pPr>
              <w:spacing w:after="0" w:line="240" w:lineRule="auto"/>
              <w:jc w:val="center"/>
              <w:rPr>
                <w:rFonts w:cs="Calibri"/>
                <w:b/>
              </w:rPr>
            </w:pPr>
            <w:r w:rsidRPr="007042CD">
              <w:rPr>
                <w:rFonts w:cs="Calibri"/>
                <w:b/>
              </w:rPr>
              <w:t xml:space="preserve">Requisitos  </w:t>
            </w:r>
          </w:p>
        </w:tc>
        <w:tc>
          <w:tcPr>
            <w:tcW w:w="3429" w:type="dxa"/>
            <w:shd w:val="clear" w:color="auto" w:fill="F2F2F2" w:themeFill="background1" w:themeFillShade="F2"/>
          </w:tcPr>
          <w:p w14:paraId="20351CEE" w14:textId="07389EE5" w:rsidR="00660085" w:rsidRPr="007042CD" w:rsidRDefault="00A30F99" w:rsidP="00032CE6">
            <w:pPr>
              <w:spacing w:after="0" w:line="240" w:lineRule="auto"/>
              <w:jc w:val="center"/>
              <w:rPr>
                <w:rFonts w:cs="Calibri"/>
                <w:b/>
              </w:rPr>
            </w:pPr>
            <w:r w:rsidRPr="00A30F99">
              <w:rPr>
                <w:rFonts w:cs="Calibri"/>
                <w:b/>
              </w:rPr>
              <w:t>Línea de formación a la que tributa</w:t>
            </w:r>
          </w:p>
        </w:tc>
      </w:tr>
      <w:tr w:rsidR="00660085" w:rsidRPr="00B94595" w14:paraId="28058916" w14:textId="77777777" w:rsidTr="007042CD">
        <w:trPr>
          <w:trHeight w:val="555"/>
          <w:jc w:val="center"/>
        </w:trPr>
        <w:tc>
          <w:tcPr>
            <w:tcW w:w="2830" w:type="dxa"/>
            <w:gridSpan w:val="2"/>
            <w:shd w:val="clear" w:color="auto" w:fill="auto"/>
          </w:tcPr>
          <w:p w14:paraId="108A4459" w14:textId="6A732BD0" w:rsidR="00660085" w:rsidRPr="009C0F27" w:rsidRDefault="00A500F3" w:rsidP="009C0F27">
            <w:pPr>
              <w:spacing w:after="0" w:line="240" w:lineRule="auto"/>
              <w:jc w:val="center"/>
              <w:rPr>
                <w:rFonts w:cs="Calibri"/>
                <w:b/>
              </w:rPr>
            </w:pPr>
            <w:r>
              <w:rPr>
                <w:rFonts w:cs="Calibri"/>
                <w:b/>
              </w:rPr>
              <w:t xml:space="preserve">Curso </w:t>
            </w:r>
            <w:proofErr w:type="spellStart"/>
            <w:r>
              <w:rPr>
                <w:rFonts w:cs="Calibri"/>
                <w:b/>
              </w:rPr>
              <w:t>teorico</w:t>
            </w:r>
            <w:proofErr w:type="spellEnd"/>
            <w:r>
              <w:rPr>
                <w:rFonts w:cs="Calibri"/>
                <w:b/>
              </w:rPr>
              <w:t xml:space="preserve">-experimental </w:t>
            </w:r>
            <w:r w:rsidR="009C0F27" w:rsidRPr="009C0F27">
              <w:rPr>
                <w:rFonts w:cs="Calibri"/>
                <w:b/>
              </w:rPr>
              <w:t xml:space="preserve">Teoría, experimentación y análisis de datos obtenidos mediante </w:t>
            </w:r>
            <w:r w:rsidR="009C0F27" w:rsidRPr="009C0F27">
              <w:rPr>
                <w:b/>
                <w:lang w:eastAsia="es-ES"/>
              </w:rPr>
              <w:t xml:space="preserve">transferencia de energía de resonancia de </w:t>
            </w:r>
            <w:proofErr w:type="spellStart"/>
            <w:r w:rsidR="009C0F27" w:rsidRPr="009C0F27">
              <w:rPr>
                <w:b/>
                <w:lang w:eastAsia="es-ES"/>
              </w:rPr>
              <w:t>Forster</w:t>
            </w:r>
            <w:proofErr w:type="spellEnd"/>
            <w:r w:rsidR="009C0F27" w:rsidRPr="009C0F27">
              <w:rPr>
                <w:b/>
                <w:lang w:eastAsia="es-ES"/>
              </w:rPr>
              <w:t xml:space="preserve"> de molécula única (</w:t>
            </w:r>
            <w:proofErr w:type="spellStart"/>
            <w:r w:rsidR="009C0F27" w:rsidRPr="009C0F27">
              <w:rPr>
                <w:b/>
                <w:lang w:eastAsia="es-ES"/>
              </w:rPr>
              <w:t>smFRET</w:t>
            </w:r>
            <w:proofErr w:type="spellEnd"/>
            <w:r w:rsidR="009C0F27" w:rsidRPr="009C0F27">
              <w:rPr>
                <w:b/>
                <w:lang w:eastAsia="es-ES"/>
              </w:rPr>
              <w:t>)</w:t>
            </w:r>
            <w:r w:rsidR="009C0F27" w:rsidRPr="009C0F27">
              <w:rPr>
                <w:rFonts w:cs="Calibri"/>
                <w:b/>
              </w:rPr>
              <w:t xml:space="preserve"> </w:t>
            </w:r>
          </w:p>
        </w:tc>
        <w:tc>
          <w:tcPr>
            <w:tcW w:w="2977" w:type="dxa"/>
            <w:gridSpan w:val="2"/>
            <w:shd w:val="clear" w:color="auto" w:fill="auto"/>
          </w:tcPr>
          <w:p w14:paraId="236CD137" w14:textId="28B48DDE" w:rsidR="007042CD" w:rsidRPr="007042CD" w:rsidRDefault="00334F67" w:rsidP="00660085">
            <w:pPr>
              <w:spacing w:after="0" w:line="240" w:lineRule="auto"/>
              <w:jc w:val="center"/>
              <w:rPr>
                <w:rFonts w:cs="Calibri"/>
                <w:b/>
              </w:rPr>
            </w:pPr>
            <w:r>
              <w:rPr>
                <w:rFonts w:cs="Calibri"/>
                <w:b/>
              </w:rPr>
              <w:t>Estructura y Función de Proteínas.</w:t>
            </w:r>
          </w:p>
        </w:tc>
        <w:tc>
          <w:tcPr>
            <w:tcW w:w="3429" w:type="dxa"/>
            <w:shd w:val="clear" w:color="auto" w:fill="auto"/>
          </w:tcPr>
          <w:p w14:paraId="20A2FE61" w14:textId="046EF0F6" w:rsidR="00660085" w:rsidRPr="007042CD" w:rsidRDefault="00334F67" w:rsidP="00660085">
            <w:pPr>
              <w:spacing w:after="0" w:line="240" w:lineRule="auto"/>
              <w:jc w:val="center"/>
              <w:rPr>
                <w:rFonts w:cs="Calibri"/>
                <w:b/>
              </w:rPr>
            </w:pPr>
            <w:r>
              <w:rPr>
                <w:rFonts w:cs="Calibri"/>
                <w:b/>
              </w:rPr>
              <w:t>Bioquímica y Biología Molecular</w:t>
            </w:r>
          </w:p>
        </w:tc>
      </w:tr>
      <w:tr w:rsidR="00660085" w:rsidRPr="00B94595" w14:paraId="0A937244" w14:textId="77777777" w:rsidTr="00032CE6">
        <w:trPr>
          <w:trHeight w:val="240"/>
          <w:jc w:val="center"/>
        </w:trPr>
        <w:tc>
          <w:tcPr>
            <w:tcW w:w="9236" w:type="dxa"/>
            <w:gridSpan w:val="5"/>
            <w:shd w:val="clear" w:color="auto" w:fill="F2F2F2"/>
          </w:tcPr>
          <w:p w14:paraId="7768CD28" w14:textId="77777777" w:rsidR="00660085" w:rsidRPr="00B94595" w:rsidRDefault="00660085" w:rsidP="00660085">
            <w:pPr>
              <w:spacing w:after="0" w:line="240" w:lineRule="auto"/>
              <w:jc w:val="center"/>
              <w:rPr>
                <w:rFonts w:cs="Calibri"/>
                <w:b/>
              </w:rPr>
            </w:pPr>
            <w:r w:rsidRPr="00B94595">
              <w:rPr>
                <w:rFonts w:cs="Calibri"/>
                <w:b/>
              </w:rPr>
              <w:t>PROPÓSITO GENERAL DEL CURSO</w:t>
            </w:r>
          </w:p>
        </w:tc>
      </w:tr>
      <w:tr w:rsidR="00660085" w:rsidRPr="00B94595" w14:paraId="2C576741" w14:textId="77777777" w:rsidTr="00032CE6">
        <w:trPr>
          <w:trHeight w:val="2748"/>
          <w:jc w:val="center"/>
        </w:trPr>
        <w:tc>
          <w:tcPr>
            <w:tcW w:w="9236" w:type="dxa"/>
            <w:gridSpan w:val="5"/>
          </w:tcPr>
          <w:p w14:paraId="1238E936" w14:textId="434C6A92" w:rsidR="007042CD" w:rsidRPr="007042CD" w:rsidRDefault="00A500F3" w:rsidP="00A500F3">
            <w:pPr>
              <w:spacing w:after="0" w:line="240" w:lineRule="auto"/>
              <w:jc w:val="both"/>
              <w:rPr>
                <w:rFonts w:eastAsia="Calibri" w:cs="Calibri"/>
                <w:lang w:val="es-ES" w:eastAsia="en-US"/>
              </w:rPr>
            </w:pPr>
            <w:r>
              <w:rPr>
                <w:lang w:eastAsia="es-ES"/>
              </w:rPr>
              <w:t xml:space="preserve">La dinámica de las macromoléculas es un aspecto critico de su función. Para esto se han desarrollado diversas técnicas que permiten cuantificar la frecuencia de los cambios conformaciones con diferentes niveles de resolución espacio-temporal. Entre ellas una de las más utilizadas es transferencia de energía de resonancia de </w:t>
            </w:r>
            <w:proofErr w:type="spellStart"/>
            <w:r>
              <w:rPr>
                <w:lang w:eastAsia="es-ES"/>
              </w:rPr>
              <w:t>Forster</w:t>
            </w:r>
            <w:proofErr w:type="spellEnd"/>
            <w:r>
              <w:rPr>
                <w:lang w:eastAsia="es-ES"/>
              </w:rPr>
              <w:t xml:space="preserve"> de molécula única (</w:t>
            </w:r>
            <w:proofErr w:type="spellStart"/>
            <w:r>
              <w:rPr>
                <w:lang w:eastAsia="es-ES"/>
              </w:rPr>
              <w:t>smFRET</w:t>
            </w:r>
            <w:proofErr w:type="spellEnd"/>
            <w:r>
              <w:rPr>
                <w:lang w:eastAsia="es-ES"/>
              </w:rPr>
              <w:t xml:space="preserve">). </w:t>
            </w:r>
            <w:r w:rsidR="00C14BED">
              <w:rPr>
                <w:lang w:eastAsia="es-ES"/>
              </w:rPr>
              <w:t>El propósito de</w:t>
            </w:r>
            <w:r>
              <w:rPr>
                <w:lang w:eastAsia="es-ES"/>
              </w:rPr>
              <w:t xml:space="preserve">l curso es que los estudiantes apliquen los conceptos básicos de cinética </w:t>
            </w:r>
            <w:r w:rsidR="00101F57">
              <w:rPr>
                <w:lang w:eastAsia="es-ES"/>
              </w:rPr>
              <w:t xml:space="preserve">y fluorescencia </w:t>
            </w:r>
            <w:r>
              <w:rPr>
                <w:lang w:eastAsia="es-ES"/>
              </w:rPr>
              <w:t xml:space="preserve">para entender los </w:t>
            </w:r>
            <w:r w:rsidR="00C14BED">
              <w:rPr>
                <w:lang w:eastAsia="es-ES"/>
              </w:rPr>
              <w:t xml:space="preserve">aspectos teóricos y </w:t>
            </w:r>
            <w:r w:rsidR="009C0F27">
              <w:rPr>
                <w:lang w:eastAsia="es-ES"/>
              </w:rPr>
              <w:t>experimentales</w:t>
            </w:r>
            <w:r w:rsidR="00C14BED">
              <w:rPr>
                <w:lang w:eastAsia="es-ES"/>
              </w:rPr>
              <w:t xml:space="preserve"> de </w:t>
            </w:r>
            <w:r>
              <w:rPr>
                <w:lang w:eastAsia="es-ES"/>
              </w:rPr>
              <w:t xml:space="preserve">la metodología de </w:t>
            </w:r>
            <w:proofErr w:type="spellStart"/>
            <w:r w:rsidR="00C14BED">
              <w:rPr>
                <w:lang w:eastAsia="es-ES"/>
              </w:rPr>
              <w:t>smFRET</w:t>
            </w:r>
            <w:proofErr w:type="spellEnd"/>
            <w:r>
              <w:rPr>
                <w:lang w:eastAsia="es-ES"/>
              </w:rPr>
              <w:t xml:space="preserve">. A su vez, los estudiantes deberán aplicar la teoría de </w:t>
            </w:r>
            <w:proofErr w:type="spellStart"/>
            <w:r>
              <w:rPr>
                <w:lang w:eastAsia="es-ES"/>
              </w:rPr>
              <w:t>smFRET</w:t>
            </w:r>
            <w:proofErr w:type="spellEnd"/>
            <w:r>
              <w:rPr>
                <w:lang w:eastAsia="es-ES"/>
              </w:rPr>
              <w:t xml:space="preserve"> para diseñar experimentos y llevarlos a cabo. </w:t>
            </w:r>
          </w:p>
        </w:tc>
      </w:tr>
      <w:tr w:rsidR="00660085" w:rsidRPr="00B94595" w14:paraId="79B0789E" w14:textId="77777777" w:rsidTr="00032CE6">
        <w:trPr>
          <w:trHeight w:val="285"/>
          <w:jc w:val="center"/>
        </w:trPr>
        <w:tc>
          <w:tcPr>
            <w:tcW w:w="9236" w:type="dxa"/>
            <w:gridSpan w:val="5"/>
            <w:shd w:val="clear" w:color="auto" w:fill="F2F2F2"/>
            <w:vAlign w:val="center"/>
          </w:tcPr>
          <w:p w14:paraId="3020E9A7" w14:textId="77777777" w:rsidR="00660085" w:rsidRPr="00B94595" w:rsidRDefault="00660085" w:rsidP="00660085">
            <w:pPr>
              <w:spacing w:after="0" w:line="240" w:lineRule="auto"/>
              <w:jc w:val="center"/>
              <w:rPr>
                <w:rFonts w:cs="Calibri"/>
              </w:rPr>
            </w:pPr>
            <w:r w:rsidRPr="00B94595">
              <w:rPr>
                <w:rFonts w:cs="Calibri"/>
                <w:b/>
              </w:rPr>
              <w:t>RESULTADOS DE APRENDIZAJE</w:t>
            </w:r>
          </w:p>
        </w:tc>
      </w:tr>
      <w:tr w:rsidR="00660085" w:rsidRPr="00B94595" w14:paraId="7866C45B" w14:textId="77777777" w:rsidTr="00926BAE">
        <w:trPr>
          <w:trHeight w:val="1714"/>
          <w:jc w:val="center"/>
        </w:trPr>
        <w:tc>
          <w:tcPr>
            <w:tcW w:w="9236" w:type="dxa"/>
            <w:gridSpan w:val="5"/>
            <w:vAlign w:val="center"/>
          </w:tcPr>
          <w:p w14:paraId="343F632F" w14:textId="00C1AE9A" w:rsidR="00334F67" w:rsidRPr="00747918" w:rsidRDefault="008E32B3" w:rsidP="00334F67">
            <w:pPr>
              <w:shd w:val="clear" w:color="auto" w:fill="FFFFFF"/>
              <w:spacing w:after="0" w:line="240" w:lineRule="auto"/>
              <w:contextualSpacing/>
              <w:jc w:val="both"/>
              <w:rPr>
                <w:rFonts w:cs="Calibri"/>
                <w:lang w:val="es-ES"/>
              </w:rPr>
            </w:pPr>
            <w:r w:rsidRPr="008E32B3">
              <w:rPr>
                <w:rFonts w:cs="Calibri"/>
                <w:b/>
                <w:bCs/>
                <w:lang w:val="es-ES"/>
              </w:rPr>
              <w:t>RA1</w:t>
            </w:r>
            <w:r w:rsidR="00334F67" w:rsidRPr="008E32B3">
              <w:rPr>
                <w:rFonts w:cs="Calibri"/>
                <w:b/>
                <w:bCs/>
                <w:lang w:val="es-ES"/>
              </w:rPr>
              <w:t>:</w:t>
            </w:r>
            <w:r w:rsidR="00334F67">
              <w:rPr>
                <w:rFonts w:cs="Calibri"/>
                <w:b/>
                <w:bCs/>
                <w:lang w:val="es-ES"/>
              </w:rPr>
              <w:t xml:space="preserve"> </w:t>
            </w:r>
            <w:r w:rsidR="00101F57">
              <w:rPr>
                <w:rFonts w:cs="Calibri"/>
                <w:bCs/>
                <w:lang w:val="es-ES"/>
              </w:rPr>
              <w:t xml:space="preserve">Comprende </w:t>
            </w:r>
            <w:r w:rsidR="00747918">
              <w:rPr>
                <w:rFonts w:cs="Calibri"/>
                <w:bCs/>
                <w:lang w:val="es-ES"/>
              </w:rPr>
              <w:t xml:space="preserve">las bases teóricas de la metodología de </w:t>
            </w:r>
            <w:proofErr w:type="spellStart"/>
            <w:r w:rsidR="00747918">
              <w:rPr>
                <w:lang w:eastAsia="es-ES"/>
              </w:rPr>
              <w:t>smFRET</w:t>
            </w:r>
            <w:proofErr w:type="spellEnd"/>
            <w:r w:rsidR="00747918">
              <w:rPr>
                <w:rFonts w:cs="Calibri"/>
                <w:lang w:val="es-ES"/>
              </w:rPr>
              <w:t>, sus limitaciones y aplicaciones para cuantificar la dinámica de macromoléculas.</w:t>
            </w:r>
          </w:p>
          <w:p w14:paraId="28A05FA6" w14:textId="0A4D0E13" w:rsidR="008E32B3" w:rsidRDefault="008E32B3" w:rsidP="00660085">
            <w:pPr>
              <w:shd w:val="clear" w:color="auto" w:fill="FFFFFF"/>
              <w:spacing w:after="0" w:line="240" w:lineRule="auto"/>
              <w:contextualSpacing/>
              <w:jc w:val="both"/>
              <w:rPr>
                <w:rFonts w:cs="Calibri"/>
                <w:b/>
                <w:bCs/>
                <w:lang w:val="es-ES"/>
              </w:rPr>
            </w:pPr>
            <w:r>
              <w:rPr>
                <w:rFonts w:cs="Calibri"/>
                <w:b/>
                <w:bCs/>
                <w:lang w:val="es-ES"/>
              </w:rPr>
              <w:t>RA2:</w:t>
            </w:r>
            <w:r w:rsidR="00334F67">
              <w:rPr>
                <w:rFonts w:cs="Calibri"/>
                <w:b/>
                <w:bCs/>
                <w:lang w:val="es-ES"/>
              </w:rPr>
              <w:t xml:space="preserve"> </w:t>
            </w:r>
            <w:r w:rsidR="00101F57">
              <w:rPr>
                <w:rFonts w:cs="Calibri"/>
                <w:bCs/>
                <w:lang w:val="es-ES"/>
              </w:rPr>
              <w:t>Realiza</w:t>
            </w:r>
            <w:r w:rsidR="009154CA">
              <w:rPr>
                <w:rFonts w:cs="Calibri"/>
                <w:b/>
                <w:bCs/>
                <w:lang w:val="es-ES"/>
              </w:rPr>
              <w:t xml:space="preserve"> </w:t>
            </w:r>
            <w:r w:rsidR="009154CA">
              <w:rPr>
                <w:rFonts w:cs="Calibri"/>
                <w:lang w:val="es-ES"/>
              </w:rPr>
              <w:t xml:space="preserve">mediciones experimentales de </w:t>
            </w:r>
            <w:proofErr w:type="spellStart"/>
            <w:r w:rsidR="009154CA">
              <w:rPr>
                <w:rFonts w:cs="Calibri"/>
                <w:lang w:val="es-ES"/>
              </w:rPr>
              <w:t>smFRET</w:t>
            </w:r>
            <w:proofErr w:type="spellEnd"/>
            <w:r w:rsidR="009154CA">
              <w:rPr>
                <w:rFonts w:cs="Calibri"/>
                <w:lang w:val="es-ES"/>
              </w:rPr>
              <w:t xml:space="preserve"> de manera autónoma utilizando </w:t>
            </w:r>
            <w:r w:rsidR="00A500F3">
              <w:rPr>
                <w:rFonts w:cs="Calibri"/>
                <w:lang w:val="es-ES"/>
              </w:rPr>
              <w:t xml:space="preserve">la instrumentación disponible </w:t>
            </w:r>
            <w:r w:rsidR="009154CA">
              <w:rPr>
                <w:rFonts w:cs="Calibri"/>
                <w:lang w:val="es-ES"/>
              </w:rPr>
              <w:t xml:space="preserve">en la Facultad de Ciencias de la Universidad de Chile. </w:t>
            </w:r>
          </w:p>
          <w:p w14:paraId="08D5428D" w14:textId="43F6AFEB" w:rsidR="00660085" w:rsidRPr="00B94595" w:rsidRDefault="00334F67" w:rsidP="00A500F3">
            <w:pPr>
              <w:shd w:val="clear" w:color="auto" w:fill="FFFFFF"/>
              <w:spacing w:after="0" w:line="240" w:lineRule="auto"/>
              <w:contextualSpacing/>
              <w:jc w:val="both"/>
              <w:rPr>
                <w:rFonts w:cs="Calibri"/>
                <w:lang w:val="es-ES"/>
              </w:rPr>
            </w:pPr>
            <w:r>
              <w:rPr>
                <w:rFonts w:cs="Calibri"/>
                <w:b/>
                <w:bCs/>
                <w:lang w:val="es-ES"/>
              </w:rPr>
              <w:t xml:space="preserve">RA3: </w:t>
            </w:r>
            <w:r w:rsidR="00A500F3">
              <w:rPr>
                <w:rFonts w:cs="Calibri"/>
                <w:bCs/>
                <w:lang w:val="es-ES"/>
              </w:rPr>
              <w:t>Anali</w:t>
            </w:r>
            <w:r w:rsidR="00101F57">
              <w:rPr>
                <w:rFonts w:cs="Calibri"/>
                <w:bCs/>
                <w:lang w:val="es-ES"/>
              </w:rPr>
              <w:t>za</w:t>
            </w:r>
            <w:r w:rsidR="009154CA">
              <w:rPr>
                <w:rFonts w:cs="Calibri"/>
                <w:b/>
                <w:bCs/>
                <w:lang w:val="es-ES"/>
              </w:rPr>
              <w:t xml:space="preserve"> </w:t>
            </w:r>
            <w:r w:rsidR="009154CA">
              <w:rPr>
                <w:rFonts w:cs="Calibri"/>
                <w:lang w:val="es-ES"/>
              </w:rPr>
              <w:t>datos experimentales para extraer información útil sobre las frecuencias de los cambios conformacionales de proteínas modelos</w:t>
            </w:r>
            <w:r w:rsidR="00101F57">
              <w:rPr>
                <w:rFonts w:cs="Calibri"/>
                <w:lang w:val="es-ES"/>
              </w:rPr>
              <w:t xml:space="preserve"> e interpreta los resultados de acuerdo a la estructura de la proteína en </w:t>
            </w:r>
            <w:proofErr w:type="spellStart"/>
            <w:r w:rsidR="00101F57">
              <w:rPr>
                <w:rFonts w:cs="Calibri"/>
                <w:lang w:val="es-ES"/>
              </w:rPr>
              <w:t>cuestion</w:t>
            </w:r>
            <w:proofErr w:type="spellEnd"/>
            <w:r w:rsidR="009154CA">
              <w:rPr>
                <w:rFonts w:cs="Calibri"/>
                <w:lang w:val="es-ES"/>
              </w:rPr>
              <w:t xml:space="preserve">. </w:t>
            </w:r>
          </w:p>
        </w:tc>
      </w:tr>
    </w:tbl>
    <w:p w14:paraId="1987CC8C" w14:textId="77777777" w:rsidR="00B34C4F" w:rsidRDefault="00B34C4F" w:rsidP="00B34C4F">
      <w:pPr>
        <w:shd w:val="clear" w:color="auto" w:fill="FFFFFF"/>
        <w:spacing w:line="240" w:lineRule="auto"/>
        <w:rPr>
          <w:rFonts w:cs="Calibri"/>
        </w:rPr>
      </w:pPr>
    </w:p>
    <w:tbl>
      <w:tblPr>
        <w:tblpPr w:leftFromText="141" w:rightFromText="141" w:vertAnchor="page" w:horzAnchor="margin" w:tblpY="2534"/>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8"/>
        <w:gridCol w:w="966"/>
        <w:gridCol w:w="2882"/>
        <w:gridCol w:w="3105"/>
      </w:tblGrid>
      <w:tr w:rsidR="008D3A91" w:rsidRPr="00B94595" w14:paraId="23D316E3" w14:textId="77777777" w:rsidTr="008D3A91">
        <w:tc>
          <w:tcPr>
            <w:tcW w:w="2248" w:type="dxa"/>
            <w:shd w:val="clear" w:color="auto" w:fill="F2F2F2"/>
          </w:tcPr>
          <w:p w14:paraId="6CBCD337" w14:textId="77777777" w:rsidR="008D3A91" w:rsidRDefault="008D3A91" w:rsidP="008D3A91">
            <w:pPr>
              <w:shd w:val="clear" w:color="auto" w:fill="F2F2F2"/>
              <w:spacing w:after="0" w:line="240" w:lineRule="auto"/>
              <w:jc w:val="center"/>
              <w:rPr>
                <w:rFonts w:eastAsia="Calibri" w:cs="Calibri"/>
                <w:b/>
                <w:sz w:val="20"/>
                <w:szCs w:val="20"/>
                <w:lang w:val="es-ES" w:eastAsia="en-US"/>
              </w:rPr>
            </w:pPr>
            <w:bookmarkStart w:id="0" w:name="_Hlk49858096"/>
            <w:r w:rsidRPr="00CB6A50">
              <w:rPr>
                <w:rFonts w:eastAsia="Calibri" w:cs="Calibri"/>
                <w:b/>
                <w:sz w:val="20"/>
                <w:szCs w:val="20"/>
                <w:lang w:val="es-ES" w:eastAsia="en-US"/>
              </w:rPr>
              <w:lastRenderedPageBreak/>
              <w:t xml:space="preserve">RA a que </w:t>
            </w:r>
          </w:p>
          <w:p w14:paraId="22FFCEEE" w14:textId="77777777" w:rsidR="008D3A91" w:rsidRPr="00CB6A50" w:rsidRDefault="008D3A91" w:rsidP="008D3A91">
            <w:pPr>
              <w:shd w:val="clear" w:color="auto" w:fill="F2F2F2"/>
              <w:spacing w:after="0" w:line="240" w:lineRule="auto"/>
              <w:jc w:val="center"/>
              <w:rPr>
                <w:rFonts w:eastAsia="Calibri" w:cs="Calibri"/>
                <w:b/>
                <w:sz w:val="20"/>
                <w:szCs w:val="20"/>
                <w:lang w:val="es-ES" w:eastAsia="en-US"/>
              </w:rPr>
            </w:pPr>
            <w:r w:rsidRPr="00CB6A50">
              <w:rPr>
                <w:rFonts w:eastAsia="Calibri" w:cs="Calibri"/>
                <w:b/>
                <w:sz w:val="20"/>
                <w:szCs w:val="20"/>
                <w:lang w:val="es-ES" w:eastAsia="en-US"/>
              </w:rPr>
              <w:t>contribuye la Unidad</w:t>
            </w:r>
          </w:p>
        </w:tc>
        <w:tc>
          <w:tcPr>
            <w:tcW w:w="966" w:type="dxa"/>
            <w:shd w:val="clear" w:color="auto" w:fill="F2F2F2"/>
          </w:tcPr>
          <w:p w14:paraId="4AB2544E" w14:textId="77777777" w:rsidR="008D3A91" w:rsidRPr="00B527E9" w:rsidRDefault="008D3A91" w:rsidP="008D3A91">
            <w:pPr>
              <w:shd w:val="clear" w:color="auto" w:fill="F2F2F2"/>
              <w:spacing w:after="0" w:line="240" w:lineRule="auto"/>
              <w:jc w:val="center"/>
              <w:rPr>
                <w:rFonts w:eastAsia="Calibri" w:cs="Calibri"/>
                <w:b/>
                <w:lang w:val="es-ES" w:eastAsia="en-US"/>
              </w:rPr>
            </w:pPr>
            <w:r w:rsidRPr="00B527E9">
              <w:rPr>
                <w:rFonts w:eastAsia="Calibri" w:cs="Calibri"/>
                <w:b/>
                <w:lang w:val="es-ES" w:eastAsia="en-US"/>
              </w:rPr>
              <w:t>Número</w:t>
            </w:r>
          </w:p>
        </w:tc>
        <w:tc>
          <w:tcPr>
            <w:tcW w:w="2882" w:type="dxa"/>
            <w:shd w:val="clear" w:color="auto" w:fill="F2F2F2"/>
          </w:tcPr>
          <w:p w14:paraId="365917FE" w14:textId="77777777" w:rsidR="008D3A91" w:rsidRPr="00B527E9" w:rsidRDefault="008D3A91" w:rsidP="008D3A91">
            <w:pPr>
              <w:shd w:val="clear" w:color="auto" w:fill="F2F2F2"/>
              <w:spacing w:after="0" w:line="240" w:lineRule="auto"/>
              <w:jc w:val="center"/>
              <w:rPr>
                <w:rFonts w:eastAsia="Calibri" w:cs="Calibri"/>
                <w:b/>
                <w:lang w:val="es-ES" w:eastAsia="en-US"/>
              </w:rPr>
            </w:pPr>
            <w:r w:rsidRPr="00B527E9">
              <w:rPr>
                <w:rFonts w:eastAsia="Calibri" w:cs="Calibri"/>
                <w:b/>
                <w:lang w:val="es-ES" w:eastAsia="en-US"/>
              </w:rPr>
              <w:t>Nombre de la Unidad</w:t>
            </w:r>
          </w:p>
        </w:tc>
        <w:tc>
          <w:tcPr>
            <w:tcW w:w="3105" w:type="dxa"/>
            <w:shd w:val="clear" w:color="auto" w:fill="F2F2F2"/>
          </w:tcPr>
          <w:p w14:paraId="12FA3515" w14:textId="77777777" w:rsidR="008D3A91" w:rsidRPr="00B527E9" w:rsidRDefault="008D3A91" w:rsidP="008D3A91">
            <w:pPr>
              <w:shd w:val="clear" w:color="auto" w:fill="F2F2F2"/>
              <w:spacing w:after="0" w:line="240" w:lineRule="auto"/>
              <w:jc w:val="center"/>
              <w:rPr>
                <w:rFonts w:eastAsia="Calibri" w:cs="Calibri"/>
                <w:b/>
                <w:lang w:val="es-ES" w:eastAsia="en-US"/>
              </w:rPr>
            </w:pPr>
            <w:r w:rsidRPr="00B527E9">
              <w:rPr>
                <w:rFonts w:eastAsia="Calibri" w:cs="Calibri"/>
                <w:b/>
                <w:lang w:val="es-ES" w:eastAsia="en-US"/>
              </w:rPr>
              <w:t>Duración en Semanas</w:t>
            </w:r>
          </w:p>
        </w:tc>
      </w:tr>
      <w:tr w:rsidR="008D3A91" w:rsidRPr="00B94595" w14:paraId="5BB08ACE" w14:textId="77777777" w:rsidTr="008D3A91">
        <w:tc>
          <w:tcPr>
            <w:tcW w:w="2248" w:type="dxa"/>
            <w:tcBorders>
              <w:bottom w:val="single" w:sz="4" w:space="0" w:color="000000"/>
            </w:tcBorders>
          </w:tcPr>
          <w:p w14:paraId="7421B50A" w14:textId="77777777" w:rsidR="008D3A91" w:rsidRPr="00B527E9" w:rsidRDefault="008D3A91" w:rsidP="008D3A91">
            <w:pPr>
              <w:spacing w:line="240" w:lineRule="auto"/>
              <w:jc w:val="center"/>
              <w:rPr>
                <w:rFonts w:eastAsia="Calibri" w:cs="Calibri"/>
                <w:b/>
                <w:lang w:val="es-ES_tradnl" w:eastAsia="en-US"/>
              </w:rPr>
            </w:pPr>
            <w:r>
              <w:rPr>
                <w:rFonts w:eastAsia="Calibri" w:cs="Calibri"/>
                <w:b/>
                <w:lang w:val="es-ES_tradnl" w:eastAsia="en-US"/>
              </w:rPr>
              <w:t>1, 2 y 3</w:t>
            </w:r>
          </w:p>
        </w:tc>
        <w:tc>
          <w:tcPr>
            <w:tcW w:w="966" w:type="dxa"/>
            <w:tcBorders>
              <w:bottom w:val="single" w:sz="4" w:space="0" w:color="000000"/>
            </w:tcBorders>
          </w:tcPr>
          <w:p w14:paraId="4C2B31C6" w14:textId="77777777" w:rsidR="008D3A91" w:rsidRPr="00B527E9" w:rsidRDefault="008D3A91" w:rsidP="008D3A91">
            <w:pPr>
              <w:spacing w:line="240" w:lineRule="auto"/>
              <w:jc w:val="center"/>
              <w:rPr>
                <w:rFonts w:eastAsia="Calibri" w:cs="Calibri"/>
                <w:b/>
                <w:lang w:val="es-ES_tradnl" w:eastAsia="en-US"/>
              </w:rPr>
            </w:pPr>
            <w:r>
              <w:rPr>
                <w:rFonts w:eastAsia="Calibri" w:cs="Calibri"/>
                <w:b/>
                <w:lang w:val="es-ES_tradnl" w:eastAsia="en-US"/>
              </w:rPr>
              <w:t>I</w:t>
            </w:r>
          </w:p>
        </w:tc>
        <w:tc>
          <w:tcPr>
            <w:tcW w:w="2882" w:type="dxa"/>
            <w:tcBorders>
              <w:bottom w:val="single" w:sz="4" w:space="0" w:color="000000"/>
            </w:tcBorders>
          </w:tcPr>
          <w:p w14:paraId="30215D8F" w14:textId="26AFD845" w:rsidR="008D3A91" w:rsidRPr="00A25521" w:rsidRDefault="00ED458B" w:rsidP="008D3A91">
            <w:pPr>
              <w:spacing w:line="240" w:lineRule="auto"/>
              <w:jc w:val="both"/>
              <w:rPr>
                <w:rFonts w:asciiTheme="minorHAnsi" w:eastAsia="Calibri" w:hAnsiTheme="minorHAnsi" w:cstheme="minorHAnsi"/>
                <w:b/>
                <w:lang w:val="es-ES_tradnl" w:eastAsia="en-US"/>
              </w:rPr>
            </w:pPr>
            <w:r>
              <w:rPr>
                <w:rFonts w:asciiTheme="minorHAnsi" w:eastAsia="Calibri" w:hAnsiTheme="minorHAnsi" w:cstheme="minorHAnsi"/>
                <w:b/>
                <w:lang w:val="es-ES_tradnl" w:eastAsia="en-US"/>
              </w:rPr>
              <w:t xml:space="preserve">Curso teórico-experimental de </w:t>
            </w:r>
            <w:proofErr w:type="spellStart"/>
            <w:r>
              <w:rPr>
                <w:rFonts w:asciiTheme="minorHAnsi" w:eastAsia="Calibri" w:hAnsiTheme="minorHAnsi" w:cstheme="minorHAnsi"/>
                <w:b/>
                <w:lang w:val="es-ES_tradnl" w:eastAsia="en-US"/>
              </w:rPr>
              <w:t>smFRET</w:t>
            </w:r>
            <w:proofErr w:type="spellEnd"/>
            <w:r>
              <w:rPr>
                <w:rFonts w:asciiTheme="minorHAnsi" w:eastAsia="Calibri" w:hAnsiTheme="minorHAnsi" w:cstheme="minorHAnsi"/>
                <w:b/>
                <w:lang w:val="es-ES_tradnl" w:eastAsia="en-US"/>
              </w:rPr>
              <w:t xml:space="preserve">. </w:t>
            </w:r>
          </w:p>
        </w:tc>
        <w:tc>
          <w:tcPr>
            <w:tcW w:w="3105" w:type="dxa"/>
            <w:tcBorders>
              <w:bottom w:val="single" w:sz="4" w:space="0" w:color="000000"/>
            </w:tcBorders>
            <w:shd w:val="clear" w:color="auto" w:fill="auto"/>
          </w:tcPr>
          <w:p w14:paraId="0B0F0E9E" w14:textId="77777777" w:rsidR="008D3A91" w:rsidRPr="00B527E9" w:rsidRDefault="008D3A91" w:rsidP="008D3A91">
            <w:pPr>
              <w:spacing w:after="0" w:line="240" w:lineRule="auto"/>
              <w:jc w:val="center"/>
              <w:rPr>
                <w:rFonts w:eastAsia="Calibri" w:cs="Calibri"/>
                <w:b/>
                <w:lang w:val="es-ES" w:eastAsia="en-US"/>
              </w:rPr>
            </w:pPr>
            <w:r>
              <w:rPr>
                <w:rFonts w:eastAsia="Calibri" w:cs="Calibri"/>
                <w:b/>
                <w:lang w:val="es-ES" w:eastAsia="en-US"/>
              </w:rPr>
              <w:t>4</w:t>
            </w:r>
          </w:p>
        </w:tc>
      </w:tr>
      <w:tr w:rsidR="008D3A91" w:rsidRPr="00B94595" w14:paraId="2A5943BA" w14:textId="77777777" w:rsidTr="008D3A91">
        <w:trPr>
          <w:trHeight w:val="583"/>
        </w:trPr>
        <w:tc>
          <w:tcPr>
            <w:tcW w:w="3214" w:type="dxa"/>
            <w:gridSpan w:val="2"/>
            <w:shd w:val="clear" w:color="auto" w:fill="F2F2F2"/>
            <w:vAlign w:val="center"/>
          </w:tcPr>
          <w:p w14:paraId="1EC9DEA6" w14:textId="77777777" w:rsidR="008D3A91" w:rsidRPr="00B94595" w:rsidRDefault="008D3A91" w:rsidP="008D3A91">
            <w:pPr>
              <w:spacing w:after="0" w:line="240" w:lineRule="auto"/>
              <w:jc w:val="both"/>
              <w:rPr>
                <w:rFonts w:eastAsia="Calibri" w:cs="Calibri"/>
                <w:b/>
                <w:lang w:val="es-ES" w:eastAsia="en-US"/>
              </w:rPr>
            </w:pPr>
            <w:r w:rsidRPr="00B94595">
              <w:rPr>
                <w:rFonts w:eastAsia="Calibri" w:cs="Calibri"/>
                <w:b/>
                <w:lang w:val="es-ES" w:eastAsia="en-US"/>
              </w:rPr>
              <w:t>Contenidos</w:t>
            </w:r>
          </w:p>
        </w:tc>
        <w:tc>
          <w:tcPr>
            <w:tcW w:w="2882" w:type="dxa"/>
            <w:shd w:val="clear" w:color="auto" w:fill="F2F2F2"/>
            <w:vAlign w:val="center"/>
          </w:tcPr>
          <w:p w14:paraId="416F49AA" w14:textId="77777777" w:rsidR="008D3A91" w:rsidRPr="00B94595" w:rsidRDefault="008D3A91" w:rsidP="008D3A91">
            <w:pPr>
              <w:spacing w:after="0" w:line="240" w:lineRule="auto"/>
              <w:jc w:val="center"/>
              <w:rPr>
                <w:rFonts w:eastAsia="Calibri" w:cs="Calibri"/>
                <w:b/>
                <w:lang w:val="es-ES" w:eastAsia="en-US"/>
              </w:rPr>
            </w:pPr>
            <w:r w:rsidRPr="00B94595">
              <w:rPr>
                <w:rFonts w:cs="Calibri"/>
                <w:b/>
              </w:rPr>
              <w:t>Indicadores de desempeño</w:t>
            </w:r>
          </w:p>
        </w:tc>
        <w:tc>
          <w:tcPr>
            <w:tcW w:w="3105" w:type="dxa"/>
            <w:shd w:val="clear" w:color="auto" w:fill="F2F2F2" w:themeFill="background1" w:themeFillShade="F2"/>
          </w:tcPr>
          <w:p w14:paraId="6569E3E9" w14:textId="77777777" w:rsidR="008D3A91" w:rsidRPr="00B94595" w:rsidRDefault="008D3A91" w:rsidP="008D3A91">
            <w:pPr>
              <w:spacing w:after="0" w:line="240" w:lineRule="auto"/>
              <w:jc w:val="center"/>
              <w:rPr>
                <w:rFonts w:eastAsia="Calibri" w:cs="Calibri"/>
                <w:b/>
                <w:lang w:val="es-ES" w:eastAsia="en-US"/>
              </w:rPr>
            </w:pPr>
            <w:r w:rsidRPr="00B94595">
              <w:rPr>
                <w:rFonts w:eastAsia="Calibri" w:cs="Calibri"/>
                <w:b/>
                <w:lang w:val="es-ES" w:eastAsia="en-US"/>
              </w:rPr>
              <w:t>Bibliografía por unidad</w:t>
            </w:r>
          </w:p>
        </w:tc>
      </w:tr>
      <w:tr w:rsidR="008D3A91" w:rsidRPr="0093233F" w14:paraId="7D810289" w14:textId="77777777" w:rsidTr="008D3A91">
        <w:trPr>
          <w:trHeight w:val="1786"/>
        </w:trPr>
        <w:tc>
          <w:tcPr>
            <w:tcW w:w="3214" w:type="dxa"/>
            <w:gridSpan w:val="2"/>
          </w:tcPr>
          <w:p w14:paraId="2A6FB39C" w14:textId="6E23C284" w:rsidR="009154CA" w:rsidRDefault="009154CA" w:rsidP="009154CA">
            <w:pPr>
              <w:pStyle w:val="Prrafodelista"/>
              <w:numPr>
                <w:ilvl w:val="0"/>
                <w:numId w:val="7"/>
              </w:numPr>
              <w:tabs>
                <w:tab w:val="left" w:pos="30"/>
              </w:tabs>
              <w:spacing w:after="0" w:line="240" w:lineRule="auto"/>
              <w:ind w:left="30" w:hanging="142"/>
              <w:jc w:val="both"/>
              <w:rPr>
                <w:rFonts w:eastAsia="Calibri" w:cs="Calibri"/>
                <w:lang w:val="es-ES_tradnl" w:eastAsia="en-US"/>
              </w:rPr>
            </w:pPr>
            <w:r>
              <w:rPr>
                <w:rFonts w:eastAsia="Calibri" w:cs="Calibri"/>
                <w:lang w:val="es-ES_tradnl" w:eastAsia="en-US"/>
              </w:rPr>
              <w:t xml:space="preserve">Bases </w:t>
            </w:r>
            <w:r w:rsidR="00BF212E">
              <w:rPr>
                <w:rFonts w:eastAsia="Calibri" w:cs="Calibri"/>
                <w:lang w:val="es-ES_tradnl" w:eastAsia="en-US"/>
              </w:rPr>
              <w:t xml:space="preserve">teóricas </w:t>
            </w:r>
            <w:r>
              <w:rPr>
                <w:rFonts w:eastAsia="Calibri" w:cs="Calibri"/>
                <w:lang w:val="es-ES_tradnl" w:eastAsia="en-US"/>
              </w:rPr>
              <w:t>de la espectroscopia de fluorescencia.</w:t>
            </w:r>
          </w:p>
          <w:p w14:paraId="6CEA4706" w14:textId="77777777" w:rsidR="00BF212E" w:rsidRDefault="00BF212E" w:rsidP="00BF212E">
            <w:pPr>
              <w:pStyle w:val="Prrafodelista"/>
              <w:tabs>
                <w:tab w:val="left" w:pos="30"/>
              </w:tabs>
              <w:spacing w:after="0" w:line="240" w:lineRule="auto"/>
              <w:ind w:left="30"/>
              <w:jc w:val="both"/>
              <w:rPr>
                <w:rFonts w:eastAsia="Calibri" w:cs="Calibri"/>
                <w:lang w:val="es-ES_tradnl" w:eastAsia="en-US"/>
              </w:rPr>
            </w:pPr>
          </w:p>
          <w:p w14:paraId="3D88077E" w14:textId="22F8D0C2" w:rsidR="008D3A91" w:rsidRDefault="009154CA" w:rsidP="009154CA">
            <w:pPr>
              <w:tabs>
                <w:tab w:val="left" w:pos="30"/>
              </w:tabs>
              <w:spacing w:after="0" w:line="240" w:lineRule="auto"/>
              <w:jc w:val="both"/>
              <w:rPr>
                <w:rFonts w:eastAsia="Calibri" w:cs="Calibri"/>
                <w:lang w:val="es-ES_tradnl" w:eastAsia="en-US"/>
              </w:rPr>
            </w:pPr>
            <w:r>
              <w:rPr>
                <w:rFonts w:eastAsia="Calibri" w:cs="Calibri"/>
                <w:lang w:val="es-ES_tradnl" w:eastAsia="en-US"/>
              </w:rPr>
              <w:t>-</w:t>
            </w:r>
            <w:r w:rsidRPr="009154CA">
              <w:rPr>
                <w:rFonts w:eastAsia="Calibri" w:cs="Calibri"/>
                <w:lang w:val="es-ES_tradnl" w:eastAsia="en-US"/>
              </w:rPr>
              <w:t xml:space="preserve">Teoría y análisis de cambios conformacionales medidos mediante </w:t>
            </w:r>
            <w:proofErr w:type="spellStart"/>
            <w:r w:rsidRPr="009154CA">
              <w:rPr>
                <w:rFonts w:eastAsia="Calibri" w:cs="Calibri"/>
                <w:lang w:val="es-ES_tradnl" w:eastAsia="en-US"/>
              </w:rPr>
              <w:t>smFRET</w:t>
            </w:r>
            <w:proofErr w:type="spellEnd"/>
            <w:r w:rsidRPr="009154CA">
              <w:rPr>
                <w:rFonts w:eastAsia="Calibri" w:cs="Calibri"/>
                <w:lang w:val="es-ES_tradnl" w:eastAsia="en-US"/>
              </w:rPr>
              <w:t>.</w:t>
            </w:r>
          </w:p>
          <w:p w14:paraId="3E6D60F8" w14:textId="77777777" w:rsidR="00BF212E" w:rsidRPr="009154CA" w:rsidRDefault="00BF212E" w:rsidP="009154CA">
            <w:pPr>
              <w:tabs>
                <w:tab w:val="left" w:pos="30"/>
              </w:tabs>
              <w:spacing w:after="0" w:line="240" w:lineRule="auto"/>
              <w:jc w:val="both"/>
              <w:rPr>
                <w:rFonts w:eastAsia="Calibri" w:cs="Calibri"/>
                <w:lang w:val="es-ES_tradnl" w:eastAsia="en-US"/>
              </w:rPr>
            </w:pPr>
          </w:p>
          <w:p w14:paraId="756C7709" w14:textId="77777777" w:rsidR="008D3A91" w:rsidRDefault="00BF212E" w:rsidP="00BF212E">
            <w:pPr>
              <w:tabs>
                <w:tab w:val="left" w:pos="30"/>
              </w:tabs>
              <w:spacing w:after="0" w:line="240" w:lineRule="auto"/>
              <w:ind w:left="-112"/>
              <w:jc w:val="both"/>
              <w:rPr>
                <w:rFonts w:eastAsia="Calibri" w:cs="Calibri"/>
                <w:lang w:val="es-ES_tradnl" w:eastAsia="en-US"/>
              </w:rPr>
            </w:pPr>
            <w:r>
              <w:rPr>
                <w:rFonts w:eastAsia="Calibri" w:cs="Calibri"/>
                <w:lang w:val="es-ES_tradnl" w:eastAsia="en-US"/>
              </w:rPr>
              <w:t xml:space="preserve">-Preparación de muestras y medición de cambios conformacionales mediante </w:t>
            </w:r>
            <w:proofErr w:type="spellStart"/>
            <w:r>
              <w:rPr>
                <w:rFonts w:eastAsia="Calibri" w:cs="Calibri"/>
                <w:lang w:val="es-ES_tradnl" w:eastAsia="en-US"/>
              </w:rPr>
              <w:t>smFRET</w:t>
            </w:r>
            <w:proofErr w:type="spellEnd"/>
            <w:r>
              <w:rPr>
                <w:rFonts w:eastAsia="Calibri" w:cs="Calibri"/>
                <w:lang w:val="es-ES_tradnl" w:eastAsia="en-US"/>
              </w:rPr>
              <w:t xml:space="preserve">. </w:t>
            </w:r>
          </w:p>
          <w:p w14:paraId="060657C9" w14:textId="77777777" w:rsidR="00101F57" w:rsidRDefault="00101F57" w:rsidP="00BF212E">
            <w:pPr>
              <w:tabs>
                <w:tab w:val="left" w:pos="30"/>
              </w:tabs>
              <w:spacing w:after="0" w:line="240" w:lineRule="auto"/>
              <w:ind w:left="-112"/>
              <w:jc w:val="both"/>
              <w:rPr>
                <w:rFonts w:eastAsia="Calibri" w:cs="Calibri"/>
                <w:lang w:val="es-ES_tradnl" w:eastAsia="en-US"/>
              </w:rPr>
            </w:pPr>
          </w:p>
          <w:p w14:paraId="40EEC4D5" w14:textId="77777777" w:rsidR="00101F57" w:rsidRDefault="00101F57" w:rsidP="00101F57">
            <w:pPr>
              <w:pStyle w:val="Prrafodelista"/>
              <w:numPr>
                <w:ilvl w:val="0"/>
                <w:numId w:val="7"/>
              </w:numPr>
              <w:tabs>
                <w:tab w:val="left" w:pos="30"/>
              </w:tabs>
              <w:spacing w:after="0" w:line="240" w:lineRule="auto"/>
              <w:ind w:left="30" w:hanging="142"/>
              <w:jc w:val="both"/>
              <w:rPr>
                <w:rFonts w:eastAsia="Calibri" w:cs="Calibri"/>
                <w:lang w:val="es-ES_tradnl" w:eastAsia="en-US"/>
              </w:rPr>
            </w:pPr>
            <w:r>
              <w:rPr>
                <w:rFonts w:eastAsia="Calibri" w:cs="Calibri"/>
                <w:lang w:val="es-ES_tradnl" w:eastAsia="en-US"/>
              </w:rPr>
              <w:t xml:space="preserve">Interpretación y análisis de datos obtenidos mediante </w:t>
            </w:r>
            <w:proofErr w:type="spellStart"/>
            <w:r>
              <w:rPr>
                <w:rFonts w:eastAsia="Calibri" w:cs="Calibri"/>
                <w:lang w:val="es-ES_tradnl" w:eastAsia="en-US"/>
              </w:rPr>
              <w:t>smFRET</w:t>
            </w:r>
            <w:proofErr w:type="spellEnd"/>
          </w:p>
          <w:p w14:paraId="3C63A35F" w14:textId="2C8BB0B2" w:rsidR="00101F57" w:rsidRPr="00BF212E" w:rsidRDefault="00101F57" w:rsidP="00BF212E">
            <w:pPr>
              <w:tabs>
                <w:tab w:val="left" w:pos="30"/>
              </w:tabs>
              <w:spacing w:after="0" w:line="240" w:lineRule="auto"/>
              <w:ind w:left="-112"/>
              <w:jc w:val="both"/>
              <w:rPr>
                <w:rFonts w:eastAsia="Calibri" w:cs="Calibri"/>
                <w:lang w:val="es-ES_tradnl" w:eastAsia="en-US"/>
              </w:rPr>
            </w:pPr>
          </w:p>
        </w:tc>
        <w:tc>
          <w:tcPr>
            <w:tcW w:w="2882" w:type="dxa"/>
          </w:tcPr>
          <w:p w14:paraId="557F512C" w14:textId="7FFF9CCF" w:rsidR="008D3A91" w:rsidRDefault="00BF212E" w:rsidP="008D3A91">
            <w:pPr>
              <w:pStyle w:val="Prrafodelista"/>
              <w:numPr>
                <w:ilvl w:val="0"/>
                <w:numId w:val="7"/>
              </w:numPr>
              <w:spacing w:line="240" w:lineRule="auto"/>
              <w:ind w:left="155" w:hanging="140"/>
              <w:jc w:val="both"/>
              <w:rPr>
                <w:rFonts w:eastAsia="Calibri" w:cs="Calibri"/>
                <w:lang w:val="es-ES_tradnl" w:eastAsia="en-US"/>
              </w:rPr>
            </w:pPr>
            <w:r>
              <w:rPr>
                <w:rFonts w:eastAsia="Calibri" w:cs="Calibri"/>
                <w:lang w:val="es-ES_tradnl" w:eastAsia="en-US"/>
              </w:rPr>
              <w:t xml:space="preserve">Aplica </w:t>
            </w:r>
            <w:r w:rsidR="00101F57">
              <w:rPr>
                <w:rFonts w:eastAsia="Calibri" w:cs="Calibri"/>
                <w:lang w:val="es-ES_tradnl" w:eastAsia="en-US"/>
              </w:rPr>
              <w:t>los principios básicos de la f</w:t>
            </w:r>
            <w:r w:rsidR="00ED458B">
              <w:rPr>
                <w:rFonts w:eastAsia="Calibri" w:cs="Calibri"/>
                <w:lang w:val="es-ES_tradnl" w:eastAsia="en-US"/>
              </w:rPr>
              <w:t>luorescencia</w:t>
            </w:r>
            <w:r w:rsidR="00330674">
              <w:rPr>
                <w:rFonts w:eastAsia="Calibri" w:cs="Calibri"/>
                <w:lang w:val="es-ES_tradnl" w:eastAsia="en-US"/>
              </w:rPr>
              <w:t xml:space="preserve"> </w:t>
            </w:r>
            <w:r>
              <w:rPr>
                <w:rFonts w:eastAsia="Calibri" w:cs="Calibri"/>
                <w:lang w:val="es-ES_tradnl" w:eastAsia="en-US"/>
              </w:rPr>
              <w:t xml:space="preserve">para entender la metodología de </w:t>
            </w:r>
            <w:proofErr w:type="spellStart"/>
            <w:r>
              <w:rPr>
                <w:rFonts w:eastAsia="Calibri" w:cs="Calibri"/>
                <w:lang w:val="es-ES_tradnl" w:eastAsia="en-US"/>
              </w:rPr>
              <w:t>smFRET</w:t>
            </w:r>
            <w:proofErr w:type="spellEnd"/>
            <w:r w:rsidR="00330674">
              <w:rPr>
                <w:rFonts w:eastAsia="Calibri" w:cs="Calibri"/>
                <w:lang w:val="es-ES_tradnl" w:eastAsia="en-US"/>
              </w:rPr>
              <w:t xml:space="preserve">. </w:t>
            </w:r>
          </w:p>
          <w:p w14:paraId="7C7312A7" w14:textId="659F8B79" w:rsidR="00BF212E" w:rsidRDefault="00ED458B" w:rsidP="00BF212E">
            <w:pPr>
              <w:pStyle w:val="Prrafodelista"/>
              <w:numPr>
                <w:ilvl w:val="0"/>
                <w:numId w:val="7"/>
              </w:numPr>
              <w:spacing w:line="240" w:lineRule="auto"/>
              <w:ind w:left="155" w:hanging="140"/>
              <w:jc w:val="both"/>
              <w:rPr>
                <w:rFonts w:eastAsia="Calibri" w:cs="Calibri"/>
                <w:lang w:val="es-ES_tradnl" w:eastAsia="en-US"/>
              </w:rPr>
            </w:pPr>
            <w:r>
              <w:rPr>
                <w:rFonts w:eastAsia="Calibri" w:cs="Calibri"/>
                <w:lang w:val="es-ES_tradnl" w:eastAsia="en-US"/>
              </w:rPr>
              <w:t xml:space="preserve">Aplica los principios básicos de la cinética </w:t>
            </w:r>
            <w:r w:rsidR="00BF212E">
              <w:rPr>
                <w:rFonts w:eastAsia="Calibri" w:cs="Calibri"/>
                <w:lang w:val="es-ES_tradnl" w:eastAsia="en-US"/>
              </w:rPr>
              <w:t xml:space="preserve">para analizar los resultados de </w:t>
            </w:r>
            <w:proofErr w:type="spellStart"/>
            <w:r w:rsidR="00BF212E">
              <w:rPr>
                <w:rFonts w:eastAsia="Calibri" w:cs="Calibri"/>
                <w:lang w:val="es-ES_tradnl" w:eastAsia="en-US"/>
              </w:rPr>
              <w:t>smFRET</w:t>
            </w:r>
            <w:proofErr w:type="spellEnd"/>
            <w:r>
              <w:rPr>
                <w:rFonts w:eastAsia="Calibri" w:cs="Calibri"/>
                <w:lang w:val="es-ES_tradnl" w:eastAsia="en-US"/>
              </w:rPr>
              <w:t xml:space="preserve">. </w:t>
            </w:r>
            <w:r w:rsidR="00BF212E">
              <w:rPr>
                <w:rFonts w:eastAsia="Calibri" w:cs="Calibri"/>
                <w:lang w:val="es-ES_tradnl" w:eastAsia="en-US"/>
              </w:rPr>
              <w:t xml:space="preserve"> Reconoce las ventajas y limitaciones de la metodología de </w:t>
            </w:r>
            <w:proofErr w:type="spellStart"/>
            <w:r w:rsidR="00BF212E">
              <w:rPr>
                <w:rFonts w:eastAsia="Calibri" w:cs="Calibri"/>
                <w:lang w:val="es-ES_tradnl" w:eastAsia="en-US"/>
              </w:rPr>
              <w:t>smFRET</w:t>
            </w:r>
            <w:proofErr w:type="spellEnd"/>
            <w:r w:rsidR="00BF212E">
              <w:rPr>
                <w:rFonts w:eastAsia="Calibri" w:cs="Calibri"/>
                <w:lang w:val="es-ES_tradnl" w:eastAsia="en-US"/>
              </w:rPr>
              <w:t xml:space="preserve">. </w:t>
            </w:r>
          </w:p>
          <w:p w14:paraId="68BDABF0" w14:textId="406DAC05" w:rsidR="00ED458B" w:rsidRDefault="00ED458B" w:rsidP="00BF212E">
            <w:pPr>
              <w:pStyle w:val="Prrafodelista"/>
              <w:spacing w:line="240" w:lineRule="auto"/>
              <w:ind w:left="155"/>
              <w:jc w:val="both"/>
              <w:rPr>
                <w:rFonts w:eastAsia="Calibri" w:cs="Calibri"/>
                <w:lang w:val="es-ES_tradnl" w:eastAsia="en-US"/>
              </w:rPr>
            </w:pPr>
          </w:p>
          <w:p w14:paraId="177A08B4" w14:textId="054C4847" w:rsidR="008D3A91" w:rsidRDefault="008D3A91" w:rsidP="00BF212E">
            <w:pPr>
              <w:pStyle w:val="Prrafodelista"/>
              <w:numPr>
                <w:ilvl w:val="0"/>
                <w:numId w:val="7"/>
              </w:numPr>
              <w:spacing w:line="240" w:lineRule="auto"/>
              <w:ind w:left="155" w:hanging="140"/>
              <w:jc w:val="both"/>
              <w:rPr>
                <w:rFonts w:eastAsia="Calibri" w:cs="Calibri"/>
                <w:lang w:val="es-ES_tradnl" w:eastAsia="en-US"/>
              </w:rPr>
            </w:pPr>
            <w:r>
              <w:rPr>
                <w:rFonts w:eastAsia="Calibri" w:cs="Calibri"/>
                <w:lang w:val="es-ES_tradnl" w:eastAsia="en-US"/>
              </w:rPr>
              <w:t xml:space="preserve">Plantea una estrategia experimental mediante </w:t>
            </w:r>
            <w:proofErr w:type="spellStart"/>
            <w:r w:rsidR="00ED458B">
              <w:rPr>
                <w:rFonts w:eastAsia="Calibri" w:cs="Calibri"/>
                <w:lang w:val="es-ES_tradnl" w:eastAsia="en-US"/>
              </w:rPr>
              <w:t>smFRET</w:t>
            </w:r>
            <w:proofErr w:type="spellEnd"/>
            <w:r w:rsidR="00ED458B">
              <w:rPr>
                <w:rFonts w:eastAsia="Calibri" w:cs="Calibri"/>
                <w:lang w:val="es-ES_tradnl" w:eastAsia="en-US"/>
              </w:rPr>
              <w:t xml:space="preserve"> para resolver una pregunta científica</w:t>
            </w:r>
            <w:r w:rsidR="00BF212E">
              <w:rPr>
                <w:rFonts w:eastAsia="Calibri" w:cs="Calibri"/>
                <w:lang w:val="es-ES_tradnl" w:eastAsia="en-US"/>
              </w:rPr>
              <w:t xml:space="preserve"> y realiza </w:t>
            </w:r>
            <w:r w:rsidR="00ED458B">
              <w:rPr>
                <w:rFonts w:eastAsia="Calibri" w:cs="Calibri"/>
                <w:lang w:val="es-ES_tradnl" w:eastAsia="en-US"/>
              </w:rPr>
              <w:t>mediciones experimental</w:t>
            </w:r>
            <w:r w:rsidR="00BF212E">
              <w:rPr>
                <w:rFonts w:eastAsia="Calibri" w:cs="Calibri"/>
                <w:lang w:val="es-ES_tradnl" w:eastAsia="en-US"/>
              </w:rPr>
              <w:t>es utilizando el instrumento.</w:t>
            </w:r>
          </w:p>
          <w:p w14:paraId="6C43E79C" w14:textId="77777777" w:rsidR="00BF212E" w:rsidRPr="00BF212E" w:rsidRDefault="00BF212E" w:rsidP="00BF212E">
            <w:pPr>
              <w:pStyle w:val="Prrafodelista"/>
              <w:rPr>
                <w:rFonts w:eastAsia="Calibri" w:cs="Calibri"/>
                <w:lang w:val="es-ES_tradnl" w:eastAsia="en-US"/>
              </w:rPr>
            </w:pPr>
          </w:p>
          <w:p w14:paraId="3FAC92FE" w14:textId="58EAB077" w:rsidR="008D3A91" w:rsidRPr="00B94595" w:rsidRDefault="00ED458B" w:rsidP="00101F57">
            <w:pPr>
              <w:pStyle w:val="Prrafodelista"/>
              <w:numPr>
                <w:ilvl w:val="0"/>
                <w:numId w:val="7"/>
              </w:numPr>
              <w:spacing w:line="240" w:lineRule="auto"/>
              <w:ind w:left="155" w:hanging="140"/>
              <w:jc w:val="both"/>
              <w:rPr>
                <w:rFonts w:eastAsia="Calibri" w:cs="Calibri"/>
                <w:lang w:val="es-ES_tradnl" w:eastAsia="en-US"/>
              </w:rPr>
            </w:pPr>
            <w:r>
              <w:rPr>
                <w:rFonts w:eastAsia="Calibri" w:cs="Calibri"/>
                <w:lang w:val="es-ES_tradnl" w:eastAsia="en-US"/>
              </w:rPr>
              <w:t xml:space="preserve">Analiza e interpreta resultados experimentales obtenidos mediante </w:t>
            </w:r>
            <w:proofErr w:type="spellStart"/>
            <w:r>
              <w:rPr>
                <w:rFonts w:eastAsia="Calibri" w:cs="Calibri"/>
                <w:lang w:val="es-ES_tradnl" w:eastAsia="en-US"/>
              </w:rPr>
              <w:t>smFRET</w:t>
            </w:r>
            <w:proofErr w:type="spellEnd"/>
            <w:r>
              <w:rPr>
                <w:rFonts w:eastAsia="Calibri" w:cs="Calibri"/>
                <w:lang w:val="es-ES_tradnl" w:eastAsia="en-US"/>
              </w:rPr>
              <w:t xml:space="preserve"> de acuerdo al modelo de estudio. </w:t>
            </w:r>
          </w:p>
        </w:tc>
        <w:tc>
          <w:tcPr>
            <w:tcW w:w="3105" w:type="dxa"/>
            <w:shd w:val="clear" w:color="auto" w:fill="auto"/>
          </w:tcPr>
          <w:p w14:paraId="5A8FFD8D" w14:textId="77777777" w:rsidR="008D3A91" w:rsidRPr="0093233F" w:rsidRDefault="008D3A91" w:rsidP="008D3A91">
            <w:pPr>
              <w:pStyle w:val="Subttulo"/>
              <w:numPr>
                <w:ilvl w:val="0"/>
                <w:numId w:val="7"/>
              </w:numPr>
              <w:ind w:left="37" w:hanging="116"/>
              <w:jc w:val="left"/>
              <w:rPr>
                <w:rFonts w:eastAsia="Calibri" w:cs="Calibri"/>
                <w:lang w:val="es-CL" w:eastAsia="en-US"/>
              </w:rPr>
            </w:pPr>
            <w:proofErr w:type="spellStart"/>
            <w:r>
              <w:rPr>
                <w:rFonts w:ascii="Arial" w:hAnsi="Arial" w:cs="Arial"/>
                <w:color w:val="222222"/>
                <w:sz w:val="20"/>
                <w:shd w:val="clear" w:color="auto" w:fill="FFFFFF"/>
              </w:rPr>
              <w:t>Kuriyan</w:t>
            </w:r>
            <w:proofErr w:type="spellEnd"/>
            <w:r>
              <w:rPr>
                <w:rFonts w:ascii="Arial" w:hAnsi="Arial" w:cs="Arial"/>
                <w:color w:val="222222"/>
                <w:sz w:val="20"/>
                <w:shd w:val="clear" w:color="auto" w:fill="FFFFFF"/>
              </w:rPr>
              <w:t xml:space="preserve">, J., </w:t>
            </w:r>
            <w:proofErr w:type="spellStart"/>
            <w:r>
              <w:rPr>
                <w:rFonts w:ascii="Arial" w:hAnsi="Arial" w:cs="Arial"/>
                <w:color w:val="222222"/>
                <w:sz w:val="20"/>
                <w:shd w:val="clear" w:color="auto" w:fill="FFFFFF"/>
              </w:rPr>
              <w:t>Konforti</w:t>
            </w:r>
            <w:proofErr w:type="spellEnd"/>
            <w:r>
              <w:rPr>
                <w:rFonts w:ascii="Arial" w:hAnsi="Arial" w:cs="Arial"/>
                <w:color w:val="222222"/>
                <w:sz w:val="20"/>
                <w:shd w:val="clear" w:color="auto" w:fill="FFFFFF"/>
              </w:rPr>
              <w:t xml:space="preserve">, B., &amp; </w:t>
            </w:r>
            <w:proofErr w:type="spellStart"/>
            <w:r>
              <w:rPr>
                <w:rFonts w:ascii="Arial" w:hAnsi="Arial" w:cs="Arial"/>
                <w:color w:val="222222"/>
                <w:sz w:val="20"/>
                <w:shd w:val="clear" w:color="auto" w:fill="FFFFFF"/>
              </w:rPr>
              <w:t>Wemmer</w:t>
            </w:r>
            <w:proofErr w:type="spellEnd"/>
            <w:r>
              <w:rPr>
                <w:rFonts w:ascii="Arial" w:hAnsi="Arial" w:cs="Arial"/>
                <w:color w:val="222222"/>
                <w:sz w:val="20"/>
                <w:shd w:val="clear" w:color="auto" w:fill="FFFFFF"/>
              </w:rPr>
              <w:t>, D. (2012). </w:t>
            </w:r>
            <w:r>
              <w:rPr>
                <w:rFonts w:ascii="Arial" w:hAnsi="Arial" w:cs="Arial"/>
                <w:i/>
                <w:iCs/>
                <w:color w:val="222222"/>
                <w:sz w:val="20"/>
                <w:shd w:val="clear" w:color="auto" w:fill="FFFFFF"/>
              </w:rPr>
              <w:t>The molecules of life: Physical and chemical principles</w:t>
            </w:r>
            <w:r>
              <w:rPr>
                <w:rFonts w:ascii="Arial" w:hAnsi="Arial" w:cs="Arial"/>
                <w:color w:val="222222"/>
                <w:sz w:val="20"/>
                <w:shd w:val="clear" w:color="auto" w:fill="FFFFFF"/>
              </w:rPr>
              <w:t>. WW Norton &amp; Company.</w:t>
            </w:r>
            <w:r>
              <w:rPr>
                <w:rFonts w:ascii="Arial" w:hAnsi="Arial" w:cs="Arial"/>
                <w:color w:val="222222"/>
                <w:sz w:val="20"/>
                <w:shd w:val="clear" w:color="auto" w:fill="FFFFFF"/>
                <w:lang w:val="es-CL"/>
              </w:rPr>
              <w:t xml:space="preserve"> Capítulo 18.</w:t>
            </w:r>
          </w:p>
          <w:p w14:paraId="60FEFDE9" w14:textId="77777777" w:rsidR="008D3A91" w:rsidRPr="0093233F" w:rsidRDefault="008D3A91" w:rsidP="008D3A91">
            <w:pPr>
              <w:pStyle w:val="Subttulo"/>
              <w:numPr>
                <w:ilvl w:val="0"/>
                <w:numId w:val="7"/>
              </w:numPr>
              <w:ind w:left="37" w:hanging="116"/>
              <w:jc w:val="left"/>
              <w:rPr>
                <w:rFonts w:eastAsia="Calibri" w:cs="Calibri"/>
                <w:lang w:val="es-CL" w:eastAsia="en-US"/>
              </w:rPr>
            </w:pPr>
            <w:proofErr w:type="spellStart"/>
            <w:r>
              <w:rPr>
                <w:rFonts w:ascii="Arial" w:hAnsi="Arial" w:cs="Arial"/>
                <w:color w:val="222222"/>
                <w:sz w:val="20"/>
                <w:shd w:val="clear" w:color="auto" w:fill="FFFFFF"/>
              </w:rPr>
              <w:t>Balchin</w:t>
            </w:r>
            <w:proofErr w:type="spellEnd"/>
            <w:r>
              <w:rPr>
                <w:rFonts w:ascii="Arial" w:hAnsi="Arial" w:cs="Arial"/>
                <w:color w:val="222222"/>
                <w:sz w:val="20"/>
                <w:shd w:val="clear" w:color="auto" w:fill="FFFFFF"/>
              </w:rPr>
              <w:t xml:space="preserve">, D., </w:t>
            </w:r>
            <w:proofErr w:type="spellStart"/>
            <w:r>
              <w:rPr>
                <w:rFonts w:ascii="Arial" w:hAnsi="Arial" w:cs="Arial"/>
                <w:color w:val="222222"/>
                <w:sz w:val="20"/>
                <w:shd w:val="clear" w:color="auto" w:fill="FFFFFF"/>
              </w:rPr>
              <w:t>Hayer</w:t>
            </w:r>
            <w:r>
              <w:rPr>
                <w:rFonts w:ascii="Cambria Math" w:hAnsi="Cambria Math" w:cs="Cambria Math"/>
                <w:color w:val="222222"/>
                <w:sz w:val="20"/>
                <w:shd w:val="clear" w:color="auto" w:fill="FFFFFF"/>
              </w:rPr>
              <w:t>‐</w:t>
            </w:r>
            <w:r>
              <w:rPr>
                <w:rFonts w:ascii="Arial" w:hAnsi="Arial" w:cs="Arial"/>
                <w:color w:val="222222"/>
                <w:sz w:val="20"/>
                <w:shd w:val="clear" w:color="auto" w:fill="FFFFFF"/>
              </w:rPr>
              <w:t>Hartl</w:t>
            </w:r>
            <w:proofErr w:type="spellEnd"/>
            <w:r>
              <w:rPr>
                <w:rFonts w:ascii="Arial" w:hAnsi="Arial" w:cs="Arial"/>
                <w:color w:val="222222"/>
                <w:sz w:val="20"/>
                <w:shd w:val="clear" w:color="auto" w:fill="FFFFFF"/>
              </w:rPr>
              <w:t xml:space="preserve">, M., &amp; </w:t>
            </w:r>
            <w:proofErr w:type="spellStart"/>
            <w:r>
              <w:rPr>
                <w:rFonts w:ascii="Arial" w:hAnsi="Arial" w:cs="Arial"/>
                <w:color w:val="222222"/>
                <w:sz w:val="20"/>
                <w:shd w:val="clear" w:color="auto" w:fill="FFFFFF"/>
              </w:rPr>
              <w:t>Hartl</w:t>
            </w:r>
            <w:proofErr w:type="spellEnd"/>
            <w:r>
              <w:rPr>
                <w:rFonts w:ascii="Arial" w:hAnsi="Arial" w:cs="Arial"/>
                <w:color w:val="222222"/>
                <w:sz w:val="20"/>
                <w:shd w:val="clear" w:color="auto" w:fill="FFFFFF"/>
              </w:rPr>
              <w:t>, F. U. (2020). Recent advances in understanding catalysis of protein folding by molecular chaperones. </w:t>
            </w:r>
            <w:r>
              <w:rPr>
                <w:rFonts w:ascii="Arial" w:hAnsi="Arial" w:cs="Arial"/>
                <w:i/>
                <w:iCs/>
                <w:color w:val="222222"/>
                <w:sz w:val="20"/>
                <w:shd w:val="clear" w:color="auto" w:fill="FFFFFF"/>
              </w:rPr>
              <w:t>FEBS letters</w:t>
            </w:r>
            <w:r>
              <w:rPr>
                <w:rFonts w:ascii="Arial" w:hAnsi="Arial" w:cs="Arial"/>
                <w:color w:val="222222"/>
                <w:sz w:val="20"/>
                <w:shd w:val="clear" w:color="auto" w:fill="FFFFFF"/>
              </w:rPr>
              <w:t>, </w:t>
            </w:r>
            <w:r>
              <w:rPr>
                <w:rFonts w:ascii="Arial" w:hAnsi="Arial" w:cs="Arial"/>
                <w:i/>
                <w:iCs/>
                <w:color w:val="222222"/>
                <w:sz w:val="20"/>
                <w:shd w:val="clear" w:color="auto" w:fill="FFFFFF"/>
              </w:rPr>
              <w:t>594</w:t>
            </w:r>
            <w:r>
              <w:rPr>
                <w:rFonts w:ascii="Arial" w:hAnsi="Arial" w:cs="Arial"/>
                <w:color w:val="222222"/>
                <w:sz w:val="20"/>
                <w:shd w:val="clear" w:color="auto" w:fill="FFFFFF"/>
              </w:rPr>
              <w:t>(17), 2770-2781.</w:t>
            </w:r>
          </w:p>
          <w:p w14:paraId="315FBEDE" w14:textId="77777777" w:rsidR="008D3A91" w:rsidRPr="0093233F" w:rsidRDefault="008D3A91" w:rsidP="008D3A91">
            <w:pPr>
              <w:pStyle w:val="Subttulo"/>
              <w:numPr>
                <w:ilvl w:val="0"/>
                <w:numId w:val="7"/>
              </w:numPr>
              <w:ind w:left="37" w:hanging="116"/>
              <w:jc w:val="left"/>
              <w:rPr>
                <w:rFonts w:eastAsia="Calibri" w:cs="Calibri"/>
                <w:lang w:val="en-US" w:eastAsia="en-US"/>
              </w:rPr>
            </w:pPr>
            <w:r>
              <w:rPr>
                <w:rFonts w:ascii="Arial" w:hAnsi="Arial" w:cs="Arial"/>
                <w:color w:val="222222"/>
                <w:sz w:val="20"/>
                <w:shd w:val="clear" w:color="auto" w:fill="FFFFFF"/>
              </w:rPr>
              <w:t>Mitra, R., Wu, K., Lee, C., &amp; Bardwell, J. C. (2022). ATP-independent chaperones. </w:t>
            </w:r>
            <w:r>
              <w:rPr>
                <w:rFonts w:ascii="Arial" w:hAnsi="Arial" w:cs="Arial"/>
                <w:i/>
                <w:iCs/>
                <w:color w:val="222222"/>
                <w:sz w:val="20"/>
                <w:shd w:val="clear" w:color="auto" w:fill="FFFFFF"/>
              </w:rPr>
              <w:t>Annual Review of Biophysics</w:t>
            </w:r>
            <w:r>
              <w:rPr>
                <w:rFonts w:ascii="Arial" w:hAnsi="Arial" w:cs="Arial"/>
                <w:color w:val="222222"/>
                <w:sz w:val="20"/>
                <w:shd w:val="clear" w:color="auto" w:fill="FFFFFF"/>
              </w:rPr>
              <w:t>, </w:t>
            </w:r>
            <w:r>
              <w:rPr>
                <w:rFonts w:ascii="Arial" w:hAnsi="Arial" w:cs="Arial"/>
                <w:i/>
                <w:iCs/>
                <w:color w:val="222222"/>
                <w:sz w:val="20"/>
                <w:shd w:val="clear" w:color="auto" w:fill="FFFFFF"/>
              </w:rPr>
              <w:t>51</w:t>
            </w:r>
            <w:r>
              <w:rPr>
                <w:rFonts w:ascii="Arial" w:hAnsi="Arial" w:cs="Arial"/>
                <w:color w:val="222222"/>
                <w:sz w:val="20"/>
                <w:shd w:val="clear" w:color="auto" w:fill="FFFFFF"/>
              </w:rPr>
              <w:t>, 409-429.</w:t>
            </w:r>
          </w:p>
          <w:p w14:paraId="412A21B7" w14:textId="77777777" w:rsidR="008D3A91" w:rsidRPr="0093233F" w:rsidRDefault="008D3A91" w:rsidP="008D3A91">
            <w:pPr>
              <w:pStyle w:val="Subttulo"/>
              <w:numPr>
                <w:ilvl w:val="0"/>
                <w:numId w:val="7"/>
              </w:numPr>
              <w:ind w:left="37" w:hanging="116"/>
              <w:jc w:val="left"/>
              <w:rPr>
                <w:rFonts w:eastAsia="Calibri" w:cs="Calibri"/>
                <w:lang w:val="en-US" w:eastAsia="en-US"/>
              </w:rPr>
            </w:pPr>
            <w:r>
              <w:rPr>
                <w:rFonts w:ascii="Arial" w:hAnsi="Arial" w:cs="Arial"/>
                <w:color w:val="222222"/>
                <w:sz w:val="20"/>
                <w:shd w:val="clear" w:color="auto" w:fill="FFFFFF"/>
              </w:rPr>
              <w:t xml:space="preserve"> </w:t>
            </w:r>
            <w:proofErr w:type="spellStart"/>
            <w:r>
              <w:rPr>
                <w:rFonts w:ascii="Arial" w:hAnsi="Arial" w:cs="Arial"/>
                <w:color w:val="222222"/>
                <w:sz w:val="20"/>
                <w:shd w:val="clear" w:color="auto" w:fill="FFFFFF"/>
              </w:rPr>
              <w:t>Lakowicz</w:t>
            </w:r>
            <w:proofErr w:type="spellEnd"/>
            <w:r>
              <w:rPr>
                <w:rFonts w:ascii="Arial" w:hAnsi="Arial" w:cs="Arial"/>
                <w:color w:val="222222"/>
                <w:sz w:val="20"/>
                <w:shd w:val="clear" w:color="auto" w:fill="FFFFFF"/>
              </w:rPr>
              <w:t>, J. R. (Ed.). (2006). </w:t>
            </w:r>
            <w:r>
              <w:rPr>
                <w:rFonts w:ascii="Arial" w:hAnsi="Arial" w:cs="Arial"/>
                <w:i/>
                <w:iCs/>
                <w:color w:val="222222"/>
                <w:sz w:val="20"/>
                <w:shd w:val="clear" w:color="auto" w:fill="FFFFFF"/>
              </w:rPr>
              <w:t>Principles of fluorescence spectroscopy</w:t>
            </w:r>
            <w:r>
              <w:rPr>
                <w:rFonts w:ascii="Arial" w:hAnsi="Arial" w:cs="Arial"/>
                <w:color w:val="222222"/>
                <w:sz w:val="20"/>
                <w:shd w:val="clear" w:color="auto" w:fill="FFFFFF"/>
              </w:rPr>
              <w:t>. Boston, MA: springer US.</w:t>
            </w:r>
          </w:p>
          <w:p w14:paraId="085C45DF" w14:textId="77777777" w:rsidR="008D3A91" w:rsidRPr="008D3A91" w:rsidRDefault="008D3A91" w:rsidP="008D3A91">
            <w:pPr>
              <w:pStyle w:val="Subttulo"/>
              <w:numPr>
                <w:ilvl w:val="0"/>
                <w:numId w:val="7"/>
              </w:numPr>
              <w:ind w:left="37" w:hanging="116"/>
              <w:jc w:val="left"/>
              <w:rPr>
                <w:rFonts w:eastAsia="Calibri" w:cs="Calibri"/>
                <w:lang w:val="en-US" w:eastAsia="en-US"/>
              </w:rPr>
            </w:pPr>
            <w:r>
              <w:rPr>
                <w:rFonts w:ascii="Arial" w:hAnsi="Arial" w:cs="Arial"/>
                <w:color w:val="222222"/>
                <w:sz w:val="20"/>
                <w:shd w:val="clear" w:color="auto" w:fill="FFFFFF"/>
              </w:rPr>
              <w:t>Walla, P. J. (2014). </w:t>
            </w:r>
            <w:r>
              <w:rPr>
                <w:rFonts w:ascii="Arial" w:hAnsi="Arial" w:cs="Arial"/>
                <w:i/>
                <w:iCs/>
                <w:color w:val="222222"/>
                <w:sz w:val="20"/>
                <w:shd w:val="clear" w:color="auto" w:fill="FFFFFF"/>
              </w:rPr>
              <w:t>Modern biophysical chemistry: detection and analysis of biomolecules</w:t>
            </w:r>
            <w:r>
              <w:rPr>
                <w:rFonts w:ascii="Arial" w:hAnsi="Arial" w:cs="Arial"/>
                <w:color w:val="222222"/>
                <w:sz w:val="20"/>
                <w:shd w:val="clear" w:color="auto" w:fill="FFFFFF"/>
              </w:rPr>
              <w:t>. John Wiley &amp; Sons.</w:t>
            </w:r>
            <w:r>
              <w:rPr>
                <w:rFonts w:ascii="Arial" w:hAnsi="Arial" w:cs="Arial"/>
                <w:color w:val="222222"/>
                <w:sz w:val="20"/>
                <w:shd w:val="clear" w:color="auto" w:fill="FFFFFF"/>
                <w:lang w:val="es-CL"/>
              </w:rPr>
              <w:t xml:space="preserve"> Capítulo 3.</w:t>
            </w:r>
          </w:p>
          <w:p w14:paraId="56F12E10" w14:textId="77777777" w:rsidR="008D3A91" w:rsidRPr="0093233F" w:rsidRDefault="008D3A91" w:rsidP="008D3A91">
            <w:pPr>
              <w:pStyle w:val="Subttulo"/>
              <w:numPr>
                <w:ilvl w:val="0"/>
                <w:numId w:val="7"/>
              </w:numPr>
              <w:ind w:left="37" w:hanging="116"/>
              <w:jc w:val="left"/>
              <w:rPr>
                <w:rFonts w:eastAsia="Calibri" w:cs="Calibri"/>
                <w:lang w:val="en-US" w:eastAsia="en-US"/>
              </w:rPr>
            </w:pPr>
            <w:r>
              <w:rPr>
                <w:rFonts w:eastAsia="Calibri" w:cs="Calibri"/>
                <w:lang w:val="en-US" w:eastAsia="en-US"/>
              </w:rPr>
              <w:t xml:space="preserve"> </w:t>
            </w:r>
            <w:proofErr w:type="spellStart"/>
            <w:r>
              <w:rPr>
                <w:rFonts w:ascii="Arial" w:hAnsi="Arial" w:cs="Arial"/>
                <w:color w:val="222222"/>
                <w:sz w:val="20"/>
                <w:shd w:val="clear" w:color="auto" w:fill="FFFFFF"/>
              </w:rPr>
              <w:t>Metskas</w:t>
            </w:r>
            <w:proofErr w:type="spellEnd"/>
            <w:r>
              <w:rPr>
                <w:rFonts w:ascii="Arial" w:hAnsi="Arial" w:cs="Arial"/>
                <w:color w:val="222222"/>
                <w:sz w:val="20"/>
                <w:shd w:val="clear" w:color="auto" w:fill="FFFFFF"/>
              </w:rPr>
              <w:t>, L. A., &amp; Rhoades, E. (2020). Single-molecule FRET of intrinsically disordered proteins. </w:t>
            </w:r>
            <w:r>
              <w:rPr>
                <w:rFonts w:ascii="Arial" w:hAnsi="Arial" w:cs="Arial"/>
                <w:i/>
                <w:iCs/>
                <w:color w:val="222222"/>
                <w:sz w:val="20"/>
                <w:shd w:val="clear" w:color="auto" w:fill="FFFFFF"/>
              </w:rPr>
              <w:t>Annual review of physical chemistry</w:t>
            </w:r>
            <w:r>
              <w:rPr>
                <w:rFonts w:ascii="Arial" w:hAnsi="Arial" w:cs="Arial"/>
                <w:color w:val="222222"/>
                <w:sz w:val="20"/>
                <w:shd w:val="clear" w:color="auto" w:fill="FFFFFF"/>
              </w:rPr>
              <w:t>, </w:t>
            </w:r>
            <w:r>
              <w:rPr>
                <w:rFonts w:ascii="Arial" w:hAnsi="Arial" w:cs="Arial"/>
                <w:i/>
                <w:iCs/>
                <w:color w:val="222222"/>
                <w:sz w:val="20"/>
                <w:shd w:val="clear" w:color="auto" w:fill="FFFFFF"/>
              </w:rPr>
              <w:t>71</w:t>
            </w:r>
            <w:r>
              <w:rPr>
                <w:rFonts w:ascii="Arial" w:hAnsi="Arial" w:cs="Arial"/>
                <w:color w:val="222222"/>
                <w:sz w:val="20"/>
                <w:shd w:val="clear" w:color="auto" w:fill="FFFFFF"/>
              </w:rPr>
              <w:t>, 391-414.</w:t>
            </w:r>
          </w:p>
        </w:tc>
      </w:tr>
      <w:bookmarkEnd w:id="0"/>
    </w:tbl>
    <w:p w14:paraId="26792C04" w14:textId="77777777" w:rsidR="00C13BAD" w:rsidRPr="0093233F" w:rsidRDefault="00C13BAD" w:rsidP="00B34C4F">
      <w:pPr>
        <w:shd w:val="clear" w:color="auto" w:fill="FFFFFF"/>
        <w:spacing w:line="240" w:lineRule="auto"/>
        <w:rPr>
          <w:rFonts w:cs="Calibri"/>
          <w:lang w:val="en-US"/>
        </w:rPr>
      </w:pPr>
    </w:p>
    <w:p w14:paraId="2C357881" w14:textId="5B88991D" w:rsidR="00A32BF3" w:rsidRDefault="00A32BF3" w:rsidP="00B34C4F">
      <w:pPr>
        <w:shd w:val="clear" w:color="auto" w:fill="FFFFFF"/>
        <w:spacing w:line="240" w:lineRule="auto"/>
        <w:rPr>
          <w:rFonts w:cs="Calibri"/>
        </w:rPr>
      </w:pPr>
    </w:p>
    <w:p w14:paraId="2266E619" w14:textId="28888E02" w:rsidR="00BF212E" w:rsidRDefault="00BF212E">
      <w:pPr>
        <w:spacing w:after="160" w:line="259" w:lineRule="auto"/>
        <w:rPr>
          <w:rFonts w:cs="Calibri"/>
        </w:rPr>
      </w:pPr>
      <w:r>
        <w:rPr>
          <w:rFonts w:cs="Calibri"/>
        </w:rPr>
        <w:br w:type="page"/>
      </w:r>
    </w:p>
    <w:p w14:paraId="771E8E6B" w14:textId="77777777" w:rsidR="00E77FEF" w:rsidRDefault="00E77FEF" w:rsidP="00B34C4F">
      <w:pPr>
        <w:shd w:val="clear" w:color="auto" w:fill="FFFFFF"/>
        <w:spacing w:line="240" w:lineRule="auto"/>
        <w:rPr>
          <w:rFonts w:cs="Calibri"/>
        </w:rPr>
      </w:pPr>
    </w:p>
    <w:tbl>
      <w:tblPr>
        <w:tblpPr w:leftFromText="141" w:rightFromText="141" w:vertAnchor="text" w:horzAnchor="margin" w:tblpY="33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23"/>
        <w:gridCol w:w="5688"/>
      </w:tblGrid>
      <w:tr w:rsidR="00BF212E" w:rsidRPr="00824DCC" w14:paraId="0B9BD4B3" w14:textId="77777777" w:rsidTr="00BB641F">
        <w:trPr>
          <w:trHeight w:val="330"/>
        </w:trPr>
        <w:tc>
          <w:tcPr>
            <w:tcW w:w="3256" w:type="dxa"/>
            <w:shd w:val="clear" w:color="auto" w:fill="F2F2F2"/>
            <w:vAlign w:val="center"/>
          </w:tcPr>
          <w:p w14:paraId="52B941C8" w14:textId="77777777" w:rsidR="00BF212E" w:rsidRPr="00824DCC" w:rsidRDefault="00BF212E" w:rsidP="00BB641F">
            <w:pPr>
              <w:spacing w:after="0" w:line="240" w:lineRule="auto"/>
              <w:jc w:val="center"/>
              <w:rPr>
                <w:b/>
              </w:rPr>
            </w:pPr>
            <w:r w:rsidRPr="00824DCC">
              <w:rPr>
                <w:b/>
              </w:rPr>
              <w:t>Metodologías</w:t>
            </w:r>
          </w:p>
        </w:tc>
        <w:tc>
          <w:tcPr>
            <w:tcW w:w="5811" w:type="dxa"/>
            <w:gridSpan w:val="2"/>
            <w:shd w:val="clear" w:color="auto" w:fill="F2F2F2"/>
            <w:vAlign w:val="center"/>
          </w:tcPr>
          <w:p w14:paraId="281D6AED" w14:textId="77777777" w:rsidR="00BF212E" w:rsidRPr="00824DCC" w:rsidRDefault="00BF212E" w:rsidP="00BB641F">
            <w:pPr>
              <w:spacing w:after="0" w:line="240" w:lineRule="auto"/>
              <w:jc w:val="center"/>
              <w:rPr>
                <w:b/>
              </w:rPr>
            </w:pPr>
            <w:r w:rsidRPr="00824DCC">
              <w:rPr>
                <w:b/>
              </w:rPr>
              <w:t>Requisitos de Aprobación</w:t>
            </w:r>
            <w:r>
              <w:rPr>
                <w:b/>
              </w:rPr>
              <w:t xml:space="preserve"> y Evaluaciones del Curso</w:t>
            </w:r>
          </w:p>
        </w:tc>
      </w:tr>
      <w:tr w:rsidR="00BF212E" w:rsidRPr="00A552EE" w14:paraId="75239DF5" w14:textId="77777777" w:rsidTr="00BB641F">
        <w:trPr>
          <w:trHeight w:val="255"/>
        </w:trPr>
        <w:tc>
          <w:tcPr>
            <w:tcW w:w="3256" w:type="dxa"/>
            <w:vAlign w:val="center"/>
          </w:tcPr>
          <w:p w14:paraId="36CFE88B" w14:textId="514B4D5A" w:rsidR="00BF212E" w:rsidRPr="00BF212E" w:rsidRDefault="00BF212E" w:rsidP="00BB641F">
            <w:pPr>
              <w:pStyle w:val="Prrafodelista"/>
              <w:numPr>
                <w:ilvl w:val="0"/>
                <w:numId w:val="4"/>
              </w:numPr>
              <w:tabs>
                <w:tab w:val="left" w:pos="164"/>
              </w:tabs>
              <w:spacing w:after="0" w:line="240" w:lineRule="auto"/>
              <w:ind w:left="0" w:firstLine="0"/>
              <w:jc w:val="both"/>
              <w:rPr>
                <w:b/>
              </w:rPr>
            </w:pPr>
            <w:r>
              <w:rPr>
                <w:b/>
              </w:rPr>
              <w:t>Seminarios</w:t>
            </w:r>
            <w:r w:rsidRPr="00BF212E">
              <w:rPr>
                <w:b/>
              </w:rPr>
              <w:t xml:space="preserve">. </w:t>
            </w:r>
            <w:r w:rsidRPr="00BF212E">
              <w:rPr>
                <w:b/>
                <w:lang w:val="es-ES_tradnl"/>
              </w:rPr>
              <w:t xml:space="preserve"> </w:t>
            </w:r>
          </w:p>
          <w:p w14:paraId="743B9F41" w14:textId="1E2F20FC" w:rsidR="00BF212E" w:rsidRPr="00BF212E" w:rsidRDefault="00BF212E" w:rsidP="00BF212E">
            <w:pPr>
              <w:pStyle w:val="Prrafodelista"/>
              <w:tabs>
                <w:tab w:val="left" w:pos="164"/>
              </w:tabs>
              <w:spacing w:after="0" w:line="240" w:lineRule="auto"/>
              <w:ind w:left="0"/>
              <w:jc w:val="both"/>
            </w:pPr>
            <w:r>
              <w:rPr>
                <w:lang w:val="es-ES_tradnl"/>
              </w:rPr>
              <w:t xml:space="preserve">Seminario Inicial. </w:t>
            </w:r>
            <w:r w:rsidR="00101F57">
              <w:rPr>
                <w:lang w:val="es-ES_tradnl"/>
              </w:rPr>
              <w:t xml:space="preserve">El estudiante </w:t>
            </w:r>
            <w:r>
              <w:rPr>
                <w:lang w:val="es-ES_tradnl"/>
              </w:rPr>
              <w:t>realizará una actividad de presentación de la problemática con los objetivos experimentales.</w:t>
            </w:r>
          </w:p>
          <w:p w14:paraId="25B7E86D" w14:textId="2F675CCF" w:rsidR="00BF212E" w:rsidRDefault="00BF212E" w:rsidP="00BF212E">
            <w:pPr>
              <w:tabs>
                <w:tab w:val="left" w:pos="164"/>
              </w:tabs>
              <w:spacing w:after="0" w:line="240" w:lineRule="auto"/>
              <w:jc w:val="both"/>
            </w:pPr>
          </w:p>
          <w:p w14:paraId="673ED338" w14:textId="5DE5C931" w:rsidR="00BF212E" w:rsidRDefault="00BF212E" w:rsidP="00BF212E">
            <w:pPr>
              <w:spacing w:after="0" w:line="240" w:lineRule="auto"/>
              <w:jc w:val="both"/>
              <w:rPr>
                <w:lang w:val="es-ES_tradnl"/>
              </w:rPr>
            </w:pPr>
            <w:r w:rsidRPr="00BF212E">
              <w:rPr>
                <w:b/>
                <w:bCs/>
              </w:rPr>
              <w:t>Seminario Final</w:t>
            </w:r>
            <w:r w:rsidRPr="00BF212E">
              <w:rPr>
                <w:b/>
              </w:rPr>
              <w:t>:</w:t>
            </w:r>
            <w:r>
              <w:t xml:space="preserve"> </w:t>
            </w:r>
            <w:r w:rsidRPr="00E96AC2">
              <w:rPr>
                <w:lang w:val="es-ES_tradnl"/>
              </w:rPr>
              <w:t xml:space="preserve">Al final del curso, </w:t>
            </w:r>
            <w:r w:rsidR="00101F57">
              <w:rPr>
                <w:lang w:val="es-ES_tradnl"/>
              </w:rPr>
              <w:t>el estudiante realizará</w:t>
            </w:r>
            <w:r>
              <w:rPr>
                <w:lang w:val="es-ES_tradnl"/>
              </w:rPr>
              <w:t xml:space="preserve"> una presentación de los datos obtenidos y su análisis. Se evaluará el dominio teórico de la metodología, la capacidad de realizar un análisis crítico de sus resultados, la habilidad de exponer las ideas de manera concisa y clara. </w:t>
            </w:r>
          </w:p>
          <w:p w14:paraId="205EE36B" w14:textId="77777777" w:rsidR="00BF212E" w:rsidRDefault="00BF212E" w:rsidP="00BF212E">
            <w:pPr>
              <w:spacing w:after="0" w:line="240" w:lineRule="auto"/>
              <w:jc w:val="both"/>
              <w:rPr>
                <w:lang w:val="es-ES_tradnl"/>
              </w:rPr>
            </w:pPr>
          </w:p>
          <w:p w14:paraId="1C116861" w14:textId="222D6FF7" w:rsidR="00BF212E" w:rsidRPr="00BF212E" w:rsidRDefault="00BF212E" w:rsidP="00353657">
            <w:pPr>
              <w:pStyle w:val="Prrafodelista"/>
              <w:numPr>
                <w:ilvl w:val="0"/>
                <w:numId w:val="4"/>
              </w:numPr>
              <w:tabs>
                <w:tab w:val="left" w:pos="164"/>
              </w:tabs>
              <w:spacing w:after="0" w:line="240" w:lineRule="auto"/>
              <w:ind w:left="0" w:firstLine="0"/>
              <w:jc w:val="both"/>
            </w:pPr>
            <w:r w:rsidRPr="00BF212E">
              <w:rPr>
                <w:b/>
              </w:rPr>
              <w:t>Laboratorios.</w:t>
            </w:r>
            <w:r>
              <w:t xml:space="preserve"> </w:t>
            </w:r>
            <w:r w:rsidRPr="00BF212E">
              <w:rPr>
                <w:lang w:val="es-ES_tradnl"/>
              </w:rPr>
              <w:t xml:space="preserve"> Durante el curso, se evaluará el desempeño del estudiante en términos de su desempeño experimental</w:t>
            </w:r>
            <w:r>
              <w:rPr>
                <w:lang w:val="es-ES_tradnl"/>
              </w:rPr>
              <w:t xml:space="preserve"> durante la preparación y la medición de las muestras</w:t>
            </w:r>
            <w:r w:rsidRPr="00BF212E">
              <w:rPr>
                <w:lang w:val="es-ES_tradnl"/>
              </w:rPr>
              <w:t xml:space="preserve">. Cuenta con una ponderación del 40%. </w:t>
            </w:r>
          </w:p>
          <w:p w14:paraId="30D8B36C" w14:textId="77777777" w:rsidR="00BF212E" w:rsidRPr="00BF212E" w:rsidRDefault="00BF212E" w:rsidP="00353657">
            <w:pPr>
              <w:pStyle w:val="Prrafodelista"/>
              <w:numPr>
                <w:ilvl w:val="0"/>
                <w:numId w:val="4"/>
              </w:numPr>
              <w:tabs>
                <w:tab w:val="left" w:pos="164"/>
              </w:tabs>
              <w:spacing w:after="0" w:line="240" w:lineRule="auto"/>
              <w:ind w:left="0" w:firstLine="0"/>
              <w:jc w:val="both"/>
            </w:pPr>
          </w:p>
          <w:p w14:paraId="001ED5F1" w14:textId="5FDF7ED4" w:rsidR="00BF212E" w:rsidRDefault="00BF212E" w:rsidP="00353657">
            <w:pPr>
              <w:pStyle w:val="Prrafodelista"/>
              <w:numPr>
                <w:ilvl w:val="0"/>
                <w:numId w:val="4"/>
              </w:numPr>
              <w:tabs>
                <w:tab w:val="left" w:pos="164"/>
              </w:tabs>
              <w:spacing w:after="0" w:line="240" w:lineRule="auto"/>
              <w:ind w:left="0" w:firstLine="0"/>
              <w:jc w:val="both"/>
            </w:pPr>
            <w:r w:rsidRPr="00BF212E">
              <w:rPr>
                <w:b/>
                <w:bCs/>
              </w:rPr>
              <w:t>Informe Final</w:t>
            </w:r>
            <w:r w:rsidRPr="00BF212E">
              <w:rPr>
                <w:bCs/>
              </w:rPr>
              <w:t>. El estudiante deberá presentar un informe con los datos obtenidos, el cual deberá contener una introducción material y métodos, resultados y discusión.</w:t>
            </w:r>
            <w:r w:rsidRPr="00BF212E">
              <w:rPr>
                <w:b/>
                <w:bCs/>
              </w:rPr>
              <w:t xml:space="preserve"> </w:t>
            </w:r>
            <w:r w:rsidRPr="00BF212E">
              <w:rPr>
                <w:lang w:val="es-ES_tradnl"/>
              </w:rPr>
              <w:t xml:space="preserve"> Esta actividad tiene una ponderación del 25 %.</w:t>
            </w:r>
          </w:p>
          <w:p w14:paraId="65746028" w14:textId="130EEC02" w:rsidR="00BF212E" w:rsidRDefault="00BF212E" w:rsidP="00BB641F">
            <w:pPr>
              <w:tabs>
                <w:tab w:val="left" w:pos="164"/>
              </w:tabs>
              <w:spacing w:after="0" w:line="240" w:lineRule="auto"/>
              <w:jc w:val="both"/>
            </w:pPr>
          </w:p>
          <w:p w14:paraId="3E80C6C5" w14:textId="77777777" w:rsidR="00BF212E" w:rsidRDefault="00BF212E" w:rsidP="00BB641F">
            <w:pPr>
              <w:tabs>
                <w:tab w:val="left" w:pos="164"/>
              </w:tabs>
              <w:spacing w:after="0" w:line="240" w:lineRule="auto"/>
              <w:jc w:val="both"/>
            </w:pPr>
          </w:p>
          <w:p w14:paraId="3C99BC1E" w14:textId="77777777" w:rsidR="00BF212E" w:rsidRDefault="00BF212E" w:rsidP="00BB641F">
            <w:pPr>
              <w:spacing w:after="0" w:line="240" w:lineRule="auto"/>
              <w:jc w:val="both"/>
            </w:pPr>
          </w:p>
          <w:p w14:paraId="70D29FB7" w14:textId="77777777" w:rsidR="00BF212E" w:rsidRPr="00A552EE" w:rsidRDefault="00BF212E" w:rsidP="00BB641F">
            <w:pPr>
              <w:spacing w:after="0" w:line="240" w:lineRule="auto"/>
              <w:jc w:val="both"/>
            </w:pPr>
          </w:p>
        </w:tc>
        <w:tc>
          <w:tcPr>
            <w:tcW w:w="5811" w:type="dxa"/>
            <w:gridSpan w:val="2"/>
            <w:vAlign w:val="center"/>
          </w:tcPr>
          <w:p w14:paraId="5B4620FF" w14:textId="77777777" w:rsidR="00BF212E" w:rsidRDefault="00BF212E" w:rsidP="00BB641F">
            <w:pPr>
              <w:spacing w:after="0" w:line="240" w:lineRule="auto"/>
              <w:jc w:val="both"/>
            </w:pPr>
            <w:r>
              <w:t>Evaluaciones y Porcentajes:</w:t>
            </w:r>
          </w:p>
          <w:p w14:paraId="2C6CB7AC" w14:textId="77777777" w:rsidR="00BF212E" w:rsidRDefault="00BF212E" w:rsidP="00BB641F">
            <w:pPr>
              <w:spacing w:after="0" w:line="240" w:lineRule="auto"/>
              <w:jc w:val="both"/>
            </w:pPr>
          </w:p>
          <w:p w14:paraId="61CEFD93" w14:textId="5923211B" w:rsidR="00BF212E" w:rsidRDefault="00BF212E" w:rsidP="00BB641F">
            <w:pPr>
              <w:spacing w:after="0" w:line="240" w:lineRule="auto"/>
              <w:jc w:val="both"/>
              <w:rPr>
                <w:lang w:val="es-ES_tradnl"/>
              </w:rPr>
            </w:pPr>
            <w:r w:rsidRPr="007D7FC0">
              <w:rPr>
                <w:b/>
                <w:bCs/>
                <w:lang w:val="es-ES_tradnl"/>
              </w:rPr>
              <w:t>Seminario</w:t>
            </w:r>
            <w:r>
              <w:rPr>
                <w:b/>
                <w:bCs/>
                <w:lang w:val="es-ES_tradnl"/>
              </w:rPr>
              <w:t xml:space="preserve"> Inicial</w:t>
            </w:r>
            <w:r w:rsidRPr="007D7FC0">
              <w:rPr>
                <w:b/>
                <w:bCs/>
                <w:lang w:val="es-ES_tradnl"/>
              </w:rPr>
              <w:t>:</w:t>
            </w:r>
            <w:r>
              <w:rPr>
                <w:lang w:val="es-ES_tradnl"/>
              </w:rPr>
              <w:t xml:space="preserve"> </w:t>
            </w:r>
            <w:r w:rsidRPr="00E96AC2">
              <w:rPr>
                <w:lang w:val="es-ES_tradnl"/>
              </w:rPr>
              <w:t xml:space="preserve">Cuenta con una ponderación del </w:t>
            </w:r>
            <w:r>
              <w:rPr>
                <w:lang w:val="es-ES_tradnl"/>
              </w:rPr>
              <w:t xml:space="preserve">10 </w:t>
            </w:r>
            <w:r w:rsidRPr="00E96AC2">
              <w:rPr>
                <w:lang w:val="es-ES_tradnl"/>
              </w:rPr>
              <w:t>%.</w:t>
            </w:r>
          </w:p>
          <w:p w14:paraId="5CE2E42A" w14:textId="77777777" w:rsidR="00BF212E" w:rsidRPr="00E96AC2" w:rsidRDefault="00BF212E" w:rsidP="00BB641F">
            <w:pPr>
              <w:spacing w:after="0" w:line="240" w:lineRule="auto"/>
              <w:jc w:val="both"/>
              <w:rPr>
                <w:lang w:val="es-ES_tradnl"/>
              </w:rPr>
            </w:pPr>
          </w:p>
          <w:p w14:paraId="07581174" w14:textId="6D41CFEA" w:rsidR="00BF212E" w:rsidRDefault="00BF212E" w:rsidP="00BB641F">
            <w:pPr>
              <w:spacing w:after="0" w:line="240" w:lineRule="auto"/>
              <w:jc w:val="both"/>
              <w:rPr>
                <w:lang w:val="es-ES_tradnl"/>
              </w:rPr>
            </w:pPr>
            <w:r w:rsidRPr="00E96AC2">
              <w:rPr>
                <w:b/>
                <w:bCs/>
                <w:lang w:val="es-ES_tradnl"/>
              </w:rPr>
              <w:t>Examen práctico:</w:t>
            </w:r>
            <w:r>
              <w:rPr>
                <w:lang w:val="es-ES_tradnl"/>
              </w:rPr>
              <w:t xml:space="preserve"> 40 %</w:t>
            </w:r>
          </w:p>
          <w:p w14:paraId="58A23BB9" w14:textId="77777777" w:rsidR="00BF212E" w:rsidRDefault="00BF212E" w:rsidP="00BB641F">
            <w:pPr>
              <w:spacing w:after="0" w:line="240" w:lineRule="auto"/>
              <w:jc w:val="both"/>
              <w:rPr>
                <w:lang w:val="es-ES_tradnl"/>
              </w:rPr>
            </w:pPr>
          </w:p>
          <w:p w14:paraId="62DA04F7" w14:textId="0B4668CA" w:rsidR="00BF212E" w:rsidRDefault="00BF212E" w:rsidP="00BB641F">
            <w:pPr>
              <w:spacing w:after="0" w:line="240" w:lineRule="auto"/>
              <w:jc w:val="both"/>
              <w:rPr>
                <w:lang w:val="es-ES_tradnl"/>
              </w:rPr>
            </w:pPr>
            <w:r>
              <w:rPr>
                <w:b/>
                <w:bCs/>
              </w:rPr>
              <w:t>Seminario Final</w:t>
            </w:r>
            <w:r>
              <w:t xml:space="preserve">: </w:t>
            </w:r>
            <w:r>
              <w:rPr>
                <w:lang w:val="es-ES_tradnl"/>
              </w:rPr>
              <w:t xml:space="preserve">Esta actividad tiene </w:t>
            </w:r>
            <w:r w:rsidRPr="00E96AC2">
              <w:rPr>
                <w:lang w:val="es-ES_tradnl"/>
              </w:rPr>
              <w:t xml:space="preserve">una ponderación del </w:t>
            </w:r>
            <w:r>
              <w:rPr>
                <w:lang w:val="es-ES_tradnl"/>
              </w:rPr>
              <w:t xml:space="preserve">25 </w:t>
            </w:r>
            <w:r w:rsidRPr="00E96AC2">
              <w:rPr>
                <w:lang w:val="es-ES_tradnl"/>
              </w:rPr>
              <w:t>%</w:t>
            </w:r>
            <w:r>
              <w:rPr>
                <w:lang w:val="es-ES_tradnl"/>
              </w:rPr>
              <w:t>.</w:t>
            </w:r>
          </w:p>
          <w:p w14:paraId="60FD72FC" w14:textId="77777777" w:rsidR="00BF212E" w:rsidRDefault="00BF212E" w:rsidP="00BB641F">
            <w:pPr>
              <w:spacing w:after="0" w:line="240" w:lineRule="auto"/>
              <w:jc w:val="both"/>
              <w:rPr>
                <w:lang w:val="es-ES_tradnl"/>
              </w:rPr>
            </w:pPr>
          </w:p>
          <w:p w14:paraId="76312607" w14:textId="0BBBE240" w:rsidR="00BF212E" w:rsidRDefault="00BF212E" w:rsidP="00BB641F">
            <w:pPr>
              <w:spacing w:after="0" w:line="240" w:lineRule="auto"/>
              <w:jc w:val="both"/>
            </w:pPr>
            <w:r>
              <w:rPr>
                <w:b/>
                <w:bCs/>
              </w:rPr>
              <w:t xml:space="preserve">Informe Final. </w:t>
            </w:r>
            <w:r>
              <w:rPr>
                <w:lang w:val="es-ES_tradnl"/>
              </w:rPr>
              <w:t xml:space="preserve">Esta actividad tiene </w:t>
            </w:r>
            <w:r w:rsidRPr="00E96AC2">
              <w:rPr>
                <w:lang w:val="es-ES_tradnl"/>
              </w:rPr>
              <w:t xml:space="preserve">una ponderación del </w:t>
            </w:r>
            <w:r>
              <w:rPr>
                <w:lang w:val="es-ES_tradnl"/>
              </w:rPr>
              <w:t xml:space="preserve">25 </w:t>
            </w:r>
            <w:r w:rsidRPr="00E96AC2">
              <w:rPr>
                <w:lang w:val="es-ES_tradnl"/>
              </w:rPr>
              <w:t>%</w:t>
            </w:r>
            <w:r>
              <w:rPr>
                <w:lang w:val="es-ES_tradnl"/>
              </w:rPr>
              <w:t>.</w:t>
            </w:r>
          </w:p>
          <w:p w14:paraId="6DBDEF2B" w14:textId="77777777" w:rsidR="00BF212E" w:rsidRDefault="00BF212E" w:rsidP="00BB641F">
            <w:pPr>
              <w:spacing w:after="0" w:line="240" w:lineRule="auto"/>
              <w:jc w:val="both"/>
            </w:pPr>
          </w:p>
          <w:p w14:paraId="6D5D4F06" w14:textId="77777777" w:rsidR="006D1B6C" w:rsidRDefault="006D1B6C" w:rsidP="00BB641F">
            <w:pPr>
              <w:spacing w:after="0" w:line="240" w:lineRule="auto"/>
              <w:jc w:val="both"/>
            </w:pPr>
          </w:p>
          <w:p w14:paraId="0B52AEC0" w14:textId="797C88F0" w:rsidR="006D1B6C" w:rsidRDefault="006D1B6C" w:rsidP="006D1B6C">
            <w:pPr>
              <w:spacing w:after="0" w:line="240" w:lineRule="auto"/>
              <w:jc w:val="both"/>
            </w:pPr>
            <w:bookmarkStart w:id="1" w:name="_GoBack"/>
            <w:r>
              <w:rPr>
                <w:lang w:val="es-ES_tradnl"/>
              </w:rPr>
              <w:t>Requisitos</w:t>
            </w:r>
            <w:r>
              <w:rPr>
                <w:lang w:val="es-ES_tradnl"/>
              </w:rPr>
              <w:t xml:space="preserve"> de aprobación</w:t>
            </w:r>
            <w:r>
              <w:rPr>
                <w:lang w:val="es-ES_tradnl"/>
              </w:rPr>
              <w:t xml:space="preserve">. </w:t>
            </w:r>
            <w:r>
              <w:rPr>
                <w:lang w:val="es-ES_tradnl"/>
              </w:rPr>
              <w:t xml:space="preserve">Nota igual o mayor a 4, </w:t>
            </w:r>
            <w:r>
              <w:rPr>
                <w:lang w:val="es-ES_tradnl"/>
              </w:rPr>
              <w:t>realizar todas la</w:t>
            </w:r>
            <w:r>
              <w:rPr>
                <w:lang w:val="es-ES_tradnl"/>
              </w:rPr>
              <w:t>s</w:t>
            </w:r>
            <w:r>
              <w:rPr>
                <w:lang w:val="es-ES_tradnl"/>
              </w:rPr>
              <w:t xml:space="preserve"> actividades experimentales </w:t>
            </w:r>
            <w:r>
              <w:rPr>
                <w:lang w:val="es-ES_tradnl"/>
              </w:rPr>
              <w:t>y de evaluación indicadas</w:t>
            </w:r>
            <w:bookmarkEnd w:id="1"/>
            <w:r>
              <w:rPr>
                <w:lang w:val="es-ES_tradnl"/>
              </w:rPr>
              <w:t>.</w:t>
            </w:r>
            <w:r>
              <w:rPr>
                <w:lang w:val="es-ES_tradnl"/>
              </w:rPr>
              <w:t xml:space="preserve"> </w:t>
            </w:r>
          </w:p>
          <w:p w14:paraId="568CDDBE" w14:textId="6A73890B" w:rsidR="006D1B6C" w:rsidRPr="00A552EE" w:rsidRDefault="006D1B6C" w:rsidP="00BB641F">
            <w:pPr>
              <w:spacing w:after="0" w:line="240" w:lineRule="auto"/>
              <w:jc w:val="both"/>
            </w:pPr>
          </w:p>
        </w:tc>
      </w:tr>
      <w:tr w:rsidR="00BF212E" w:rsidRPr="00B94595" w14:paraId="4372AB7B" w14:textId="77777777" w:rsidTr="00BB641F">
        <w:trPr>
          <w:trHeight w:val="330"/>
        </w:trPr>
        <w:tc>
          <w:tcPr>
            <w:tcW w:w="9067" w:type="dxa"/>
            <w:gridSpan w:val="3"/>
            <w:shd w:val="clear" w:color="auto" w:fill="F2F2F2"/>
            <w:vAlign w:val="center"/>
          </w:tcPr>
          <w:p w14:paraId="726FBB55" w14:textId="77777777" w:rsidR="00BF212E" w:rsidRPr="00C81165" w:rsidRDefault="00BF212E" w:rsidP="00BB641F">
            <w:pPr>
              <w:spacing w:after="0" w:line="240" w:lineRule="auto"/>
              <w:rPr>
                <w:b/>
              </w:rPr>
            </w:pPr>
            <w:r w:rsidRPr="00C81165">
              <w:rPr>
                <w:b/>
              </w:rPr>
              <w:t>Bibliografía Obligatoria</w:t>
            </w:r>
          </w:p>
        </w:tc>
      </w:tr>
      <w:tr w:rsidR="00BF212E" w:rsidRPr="008D3A91" w14:paraId="2794D418" w14:textId="77777777" w:rsidTr="00BB641F">
        <w:trPr>
          <w:trHeight w:val="240"/>
        </w:trPr>
        <w:tc>
          <w:tcPr>
            <w:tcW w:w="9067" w:type="dxa"/>
            <w:gridSpan w:val="3"/>
            <w:vAlign w:val="center"/>
          </w:tcPr>
          <w:p w14:paraId="2129746A" w14:textId="77777777" w:rsidR="00BF212E" w:rsidRDefault="00BF212E" w:rsidP="00BB641F">
            <w:pPr>
              <w:autoSpaceDE w:val="0"/>
              <w:autoSpaceDN w:val="0"/>
              <w:adjustRightInd w:val="0"/>
              <w:spacing w:after="0" w:line="240" w:lineRule="auto"/>
              <w:rPr>
                <w:rFonts w:ascii="Arial" w:hAnsi="Arial" w:cs="Arial"/>
                <w:color w:val="222222"/>
                <w:sz w:val="20"/>
                <w:szCs w:val="20"/>
                <w:shd w:val="clear" w:color="auto" w:fill="FFFFFF"/>
                <w:lang w:val="en-US"/>
              </w:rPr>
            </w:pPr>
            <w:r w:rsidRPr="008D3A91">
              <w:rPr>
                <w:rFonts w:eastAsia="Calibri" w:cs="Calibri"/>
                <w:lang w:val="en-US" w:eastAsia="en-US"/>
              </w:rPr>
              <w:t>-</w:t>
            </w:r>
            <w:r>
              <w:rPr>
                <w:rFonts w:eastAsia="Calibri" w:cs="Calibri"/>
                <w:lang w:val="en-US" w:eastAsia="en-US"/>
              </w:rPr>
              <w:t xml:space="preserve"> </w:t>
            </w:r>
            <w:proofErr w:type="spellStart"/>
            <w:r w:rsidRPr="008D3A91">
              <w:rPr>
                <w:rFonts w:ascii="Arial" w:hAnsi="Arial" w:cs="Arial"/>
                <w:color w:val="222222"/>
                <w:sz w:val="20"/>
                <w:szCs w:val="20"/>
                <w:shd w:val="clear" w:color="auto" w:fill="FFFFFF"/>
                <w:lang w:val="en-US"/>
              </w:rPr>
              <w:t>Metskas</w:t>
            </w:r>
            <w:proofErr w:type="spellEnd"/>
            <w:r w:rsidRPr="008D3A91">
              <w:rPr>
                <w:rFonts w:ascii="Arial" w:hAnsi="Arial" w:cs="Arial"/>
                <w:color w:val="222222"/>
                <w:sz w:val="20"/>
                <w:szCs w:val="20"/>
                <w:shd w:val="clear" w:color="auto" w:fill="FFFFFF"/>
                <w:lang w:val="en-US"/>
              </w:rPr>
              <w:t>, L. A., &amp; Rhoades, E. (2020). Single-molecule FRET of intrinsically disordered</w:t>
            </w:r>
            <w:r>
              <w:rPr>
                <w:rFonts w:ascii="Arial" w:hAnsi="Arial" w:cs="Arial"/>
                <w:color w:val="222222"/>
                <w:sz w:val="20"/>
                <w:szCs w:val="20"/>
                <w:shd w:val="clear" w:color="auto" w:fill="FFFFFF"/>
                <w:lang w:val="en-US"/>
              </w:rPr>
              <w:t xml:space="preserve"> </w:t>
            </w:r>
            <w:r w:rsidRPr="008D3A91">
              <w:rPr>
                <w:rFonts w:ascii="Arial" w:hAnsi="Arial" w:cs="Arial"/>
                <w:color w:val="222222"/>
                <w:sz w:val="20"/>
                <w:szCs w:val="20"/>
                <w:shd w:val="clear" w:color="auto" w:fill="FFFFFF"/>
                <w:lang w:val="en-US"/>
              </w:rPr>
              <w:t>proteins. </w:t>
            </w:r>
            <w:r w:rsidRPr="008D3A91">
              <w:rPr>
                <w:rFonts w:ascii="Arial" w:hAnsi="Arial" w:cs="Arial"/>
                <w:i/>
                <w:iCs/>
                <w:color w:val="222222"/>
                <w:sz w:val="20"/>
                <w:szCs w:val="20"/>
                <w:shd w:val="clear" w:color="auto" w:fill="FFFFFF"/>
                <w:lang w:val="en-US"/>
              </w:rPr>
              <w:t>Annual review of physical chemistry</w:t>
            </w:r>
            <w:r w:rsidRPr="008D3A91">
              <w:rPr>
                <w:rFonts w:ascii="Arial" w:hAnsi="Arial" w:cs="Arial"/>
                <w:color w:val="222222"/>
                <w:sz w:val="20"/>
                <w:szCs w:val="20"/>
                <w:shd w:val="clear" w:color="auto" w:fill="FFFFFF"/>
                <w:lang w:val="en-US"/>
              </w:rPr>
              <w:t>, </w:t>
            </w:r>
            <w:r w:rsidRPr="008D3A91">
              <w:rPr>
                <w:rFonts w:ascii="Arial" w:hAnsi="Arial" w:cs="Arial"/>
                <w:i/>
                <w:iCs/>
                <w:color w:val="222222"/>
                <w:sz w:val="20"/>
                <w:szCs w:val="20"/>
                <w:shd w:val="clear" w:color="auto" w:fill="FFFFFF"/>
                <w:lang w:val="en-US"/>
              </w:rPr>
              <w:t>71</w:t>
            </w:r>
            <w:r w:rsidRPr="008D3A91">
              <w:rPr>
                <w:rFonts w:ascii="Arial" w:hAnsi="Arial" w:cs="Arial"/>
                <w:color w:val="222222"/>
                <w:sz w:val="20"/>
                <w:szCs w:val="20"/>
                <w:shd w:val="clear" w:color="auto" w:fill="FFFFFF"/>
                <w:lang w:val="en-US"/>
              </w:rPr>
              <w:t>, 391-414.</w:t>
            </w:r>
          </w:p>
          <w:p w14:paraId="4E63BB1B" w14:textId="77777777" w:rsidR="00BF212E" w:rsidRPr="008D3A91" w:rsidRDefault="00BF212E" w:rsidP="00BB641F">
            <w:pPr>
              <w:autoSpaceDE w:val="0"/>
              <w:autoSpaceDN w:val="0"/>
              <w:adjustRightInd w:val="0"/>
              <w:spacing w:after="0" w:line="240" w:lineRule="auto"/>
              <w:rPr>
                <w:rFonts w:eastAsia="Calibri" w:cs="Calibri"/>
                <w:lang w:val="en-US" w:eastAsia="en-US"/>
              </w:rPr>
            </w:pPr>
            <w:r>
              <w:rPr>
                <w:rFonts w:ascii="Arial" w:hAnsi="Arial" w:cs="Arial"/>
                <w:color w:val="222222"/>
                <w:sz w:val="20"/>
                <w:szCs w:val="20"/>
                <w:shd w:val="clear" w:color="auto" w:fill="FFFFFF"/>
                <w:lang w:val="en-US"/>
              </w:rPr>
              <w:t>-</w:t>
            </w:r>
            <w:r w:rsidRPr="008D3A91">
              <w:rPr>
                <w:rFonts w:ascii="Arial" w:hAnsi="Arial" w:cs="Arial"/>
                <w:color w:val="222222"/>
                <w:sz w:val="20"/>
                <w:szCs w:val="20"/>
                <w:shd w:val="clear" w:color="auto" w:fill="FFFFFF"/>
                <w:lang w:val="en-US"/>
              </w:rPr>
              <w:t xml:space="preserve"> Hoffmann, A., </w:t>
            </w:r>
            <w:proofErr w:type="spellStart"/>
            <w:r w:rsidRPr="008D3A91">
              <w:rPr>
                <w:rFonts w:ascii="Arial" w:hAnsi="Arial" w:cs="Arial"/>
                <w:color w:val="222222"/>
                <w:sz w:val="20"/>
                <w:szCs w:val="20"/>
                <w:shd w:val="clear" w:color="auto" w:fill="FFFFFF"/>
                <w:lang w:val="en-US"/>
              </w:rPr>
              <w:t>Bukau</w:t>
            </w:r>
            <w:proofErr w:type="spellEnd"/>
            <w:r w:rsidRPr="008D3A91">
              <w:rPr>
                <w:rFonts w:ascii="Arial" w:hAnsi="Arial" w:cs="Arial"/>
                <w:color w:val="222222"/>
                <w:sz w:val="20"/>
                <w:szCs w:val="20"/>
                <w:shd w:val="clear" w:color="auto" w:fill="FFFFFF"/>
                <w:lang w:val="en-US"/>
              </w:rPr>
              <w:t>, B., &amp; Kramer, G. (2010). Structure and function of the molecular chaperone Trigger Factor. </w:t>
            </w:r>
            <w:proofErr w:type="spellStart"/>
            <w:r>
              <w:rPr>
                <w:rFonts w:ascii="Arial" w:hAnsi="Arial" w:cs="Arial"/>
                <w:i/>
                <w:iCs/>
                <w:color w:val="222222"/>
                <w:sz w:val="20"/>
                <w:szCs w:val="20"/>
                <w:shd w:val="clear" w:color="auto" w:fill="FFFFFF"/>
              </w:rPr>
              <w:t>Biochimica</w:t>
            </w:r>
            <w:proofErr w:type="spellEnd"/>
            <w:r>
              <w:rPr>
                <w:rFonts w:ascii="Arial" w:hAnsi="Arial" w:cs="Arial"/>
                <w:i/>
                <w:iCs/>
                <w:color w:val="222222"/>
                <w:sz w:val="20"/>
                <w:szCs w:val="20"/>
                <w:shd w:val="clear" w:color="auto" w:fill="FFFFFF"/>
              </w:rPr>
              <w:t xml:space="preserve"> et </w:t>
            </w:r>
            <w:proofErr w:type="spellStart"/>
            <w:r>
              <w:rPr>
                <w:rFonts w:ascii="Arial" w:hAnsi="Arial" w:cs="Arial"/>
                <w:i/>
                <w:iCs/>
                <w:color w:val="222222"/>
                <w:sz w:val="20"/>
                <w:szCs w:val="20"/>
                <w:shd w:val="clear" w:color="auto" w:fill="FFFFFF"/>
              </w:rPr>
              <w:t>Biophysica</w:t>
            </w:r>
            <w:proofErr w:type="spellEnd"/>
            <w:r>
              <w:rPr>
                <w:rFonts w:ascii="Arial" w:hAnsi="Arial" w:cs="Arial"/>
                <w:i/>
                <w:iCs/>
                <w:color w:val="222222"/>
                <w:sz w:val="20"/>
                <w:szCs w:val="20"/>
                <w:shd w:val="clear" w:color="auto" w:fill="FFFFFF"/>
              </w:rPr>
              <w:t xml:space="preserve"> Acta (BBA)-Molecular </w:t>
            </w:r>
            <w:proofErr w:type="spellStart"/>
            <w:r>
              <w:rPr>
                <w:rFonts w:ascii="Arial" w:hAnsi="Arial" w:cs="Arial"/>
                <w:i/>
                <w:iCs/>
                <w:color w:val="222222"/>
                <w:sz w:val="20"/>
                <w:szCs w:val="20"/>
                <w:shd w:val="clear" w:color="auto" w:fill="FFFFFF"/>
              </w:rPr>
              <w:t>Cell</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Research</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1803</w:t>
            </w:r>
            <w:r>
              <w:rPr>
                <w:rFonts w:ascii="Arial" w:hAnsi="Arial" w:cs="Arial"/>
                <w:color w:val="222222"/>
                <w:sz w:val="20"/>
                <w:szCs w:val="20"/>
                <w:shd w:val="clear" w:color="auto" w:fill="FFFFFF"/>
              </w:rPr>
              <w:t>(6), 650-661.</w:t>
            </w:r>
          </w:p>
          <w:p w14:paraId="630DE847" w14:textId="77777777" w:rsidR="00BF212E" w:rsidRPr="00322285" w:rsidRDefault="00BF212E" w:rsidP="00BB641F">
            <w:pPr>
              <w:autoSpaceDE w:val="0"/>
              <w:autoSpaceDN w:val="0"/>
              <w:adjustRightInd w:val="0"/>
              <w:spacing w:after="0" w:line="360" w:lineRule="auto"/>
              <w:rPr>
                <w:lang w:val="en-US"/>
              </w:rPr>
            </w:pPr>
          </w:p>
        </w:tc>
      </w:tr>
      <w:tr w:rsidR="00BF212E" w:rsidRPr="00F07B8D" w14:paraId="4F8A1EE6" w14:textId="77777777" w:rsidTr="00BB641F">
        <w:trPr>
          <w:trHeight w:val="240"/>
        </w:trPr>
        <w:tc>
          <w:tcPr>
            <w:tcW w:w="3379" w:type="dxa"/>
            <w:gridSpan w:val="2"/>
            <w:shd w:val="clear" w:color="auto" w:fill="F2F2F2"/>
            <w:vAlign w:val="center"/>
          </w:tcPr>
          <w:p w14:paraId="13997091" w14:textId="77777777" w:rsidR="00BF212E" w:rsidRDefault="00BF212E" w:rsidP="00BB641F">
            <w:pPr>
              <w:autoSpaceDE w:val="0"/>
              <w:autoSpaceDN w:val="0"/>
              <w:adjustRightInd w:val="0"/>
              <w:spacing w:after="0" w:line="360" w:lineRule="auto"/>
              <w:rPr>
                <w:rFonts w:eastAsia="Calibri" w:cs="Calibri"/>
                <w:lang w:val="es-ES_tradnl" w:eastAsia="en-US"/>
              </w:rPr>
            </w:pPr>
            <w:r>
              <w:rPr>
                <w:b/>
                <w:lang w:val="es-MX"/>
              </w:rPr>
              <w:lastRenderedPageBreak/>
              <w:t>Elaborado por:</w:t>
            </w:r>
          </w:p>
        </w:tc>
        <w:tc>
          <w:tcPr>
            <w:tcW w:w="5688" w:type="dxa"/>
            <w:vAlign w:val="center"/>
          </w:tcPr>
          <w:p w14:paraId="008027F9" w14:textId="77777777" w:rsidR="00BF212E" w:rsidRDefault="00BF212E" w:rsidP="00BB641F">
            <w:pPr>
              <w:autoSpaceDE w:val="0"/>
              <w:autoSpaceDN w:val="0"/>
              <w:adjustRightInd w:val="0"/>
              <w:spacing w:after="0" w:line="360" w:lineRule="auto"/>
              <w:rPr>
                <w:rFonts w:eastAsia="Calibri" w:cs="Calibri"/>
                <w:lang w:val="es-ES_tradnl" w:eastAsia="en-US"/>
              </w:rPr>
            </w:pPr>
            <w:r>
              <w:rPr>
                <w:rFonts w:eastAsia="Calibri" w:cs="Calibri"/>
                <w:lang w:val="es-ES_tradnl" w:eastAsia="en-US"/>
              </w:rPr>
              <w:t xml:space="preserve">Rodrigo Adrián Rivera Silva y Mauricio </w:t>
            </w:r>
            <w:proofErr w:type="spellStart"/>
            <w:r>
              <w:rPr>
                <w:rFonts w:eastAsia="Calibri" w:cs="Calibri"/>
                <w:lang w:val="es-ES_tradnl" w:eastAsia="en-US"/>
              </w:rPr>
              <w:t>Baez</w:t>
            </w:r>
            <w:proofErr w:type="spellEnd"/>
          </w:p>
        </w:tc>
      </w:tr>
      <w:tr w:rsidR="00BF212E" w:rsidRPr="00F07B8D" w14:paraId="7B749F16" w14:textId="77777777" w:rsidTr="00BB641F">
        <w:trPr>
          <w:trHeight w:val="240"/>
        </w:trPr>
        <w:tc>
          <w:tcPr>
            <w:tcW w:w="3379" w:type="dxa"/>
            <w:gridSpan w:val="2"/>
            <w:shd w:val="clear" w:color="auto" w:fill="F2F2F2"/>
            <w:vAlign w:val="center"/>
          </w:tcPr>
          <w:p w14:paraId="00D0342D" w14:textId="77777777" w:rsidR="00BF212E" w:rsidRDefault="00BF212E" w:rsidP="00BB641F">
            <w:pPr>
              <w:autoSpaceDE w:val="0"/>
              <w:autoSpaceDN w:val="0"/>
              <w:adjustRightInd w:val="0"/>
              <w:spacing w:after="0" w:line="360" w:lineRule="auto"/>
              <w:rPr>
                <w:b/>
                <w:lang w:val="es-MX"/>
              </w:rPr>
            </w:pPr>
            <w:r>
              <w:rPr>
                <w:b/>
                <w:lang w:val="es-MX"/>
              </w:rPr>
              <w:t>Año de elaboración:</w:t>
            </w:r>
          </w:p>
        </w:tc>
        <w:tc>
          <w:tcPr>
            <w:tcW w:w="5688" w:type="dxa"/>
            <w:vAlign w:val="center"/>
          </w:tcPr>
          <w:p w14:paraId="4E6E6063" w14:textId="77777777" w:rsidR="00BF212E" w:rsidRDefault="00BF212E" w:rsidP="00BB641F">
            <w:pPr>
              <w:autoSpaceDE w:val="0"/>
              <w:autoSpaceDN w:val="0"/>
              <w:adjustRightInd w:val="0"/>
              <w:spacing w:after="0" w:line="360" w:lineRule="auto"/>
              <w:rPr>
                <w:rFonts w:eastAsia="Calibri" w:cs="Calibri"/>
                <w:lang w:val="es-ES_tradnl" w:eastAsia="en-US"/>
              </w:rPr>
            </w:pPr>
            <w:r>
              <w:rPr>
                <w:rFonts w:eastAsia="Calibri" w:cs="Calibri"/>
                <w:lang w:val="es-ES_tradnl" w:eastAsia="en-US"/>
              </w:rPr>
              <w:t>2022</w:t>
            </w:r>
          </w:p>
        </w:tc>
      </w:tr>
      <w:tr w:rsidR="00BF212E" w:rsidRPr="00322285" w14:paraId="077F0D22" w14:textId="77777777" w:rsidTr="00BB641F">
        <w:trPr>
          <w:trHeight w:val="240"/>
        </w:trPr>
        <w:tc>
          <w:tcPr>
            <w:tcW w:w="3379" w:type="dxa"/>
            <w:gridSpan w:val="2"/>
            <w:shd w:val="clear" w:color="auto" w:fill="F2F2F2"/>
            <w:vAlign w:val="center"/>
          </w:tcPr>
          <w:p w14:paraId="44081497" w14:textId="77777777" w:rsidR="00BF212E" w:rsidRPr="00824DCC" w:rsidRDefault="00BF212E" w:rsidP="00BB641F">
            <w:pPr>
              <w:autoSpaceDE w:val="0"/>
              <w:autoSpaceDN w:val="0"/>
              <w:adjustRightInd w:val="0"/>
              <w:spacing w:after="0" w:line="360" w:lineRule="auto"/>
              <w:rPr>
                <w:b/>
                <w:lang w:val="es-MX"/>
              </w:rPr>
            </w:pPr>
            <w:proofErr w:type="spellStart"/>
            <w:r>
              <w:rPr>
                <w:b/>
                <w:lang w:val="en-US"/>
              </w:rPr>
              <w:t>Validado</w:t>
            </w:r>
            <w:proofErr w:type="spellEnd"/>
            <w:r>
              <w:rPr>
                <w:b/>
                <w:lang w:val="en-US"/>
              </w:rPr>
              <w:t xml:space="preserve"> </w:t>
            </w:r>
            <w:proofErr w:type="spellStart"/>
            <w:r>
              <w:rPr>
                <w:b/>
                <w:lang w:val="en-US"/>
              </w:rPr>
              <w:t>por</w:t>
            </w:r>
            <w:proofErr w:type="spellEnd"/>
            <w:r>
              <w:rPr>
                <w:b/>
                <w:lang w:val="en-US"/>
              </w:rPr>
              <w:t xml:space="preserve">: </w:t>
            </w:r>
          </w:p>
        </w:tc>
        <w:tc>
          <w:tcPr>
            <w:tcW w:w="5688" w:type="dxa"/>
            <w:vAlign w:val="center"/>
          </w:tcPr>
          <w:p w14:paraId="050AB99A" w14:textId="77777777" w:rsidR="00BF212E" w:rsidRPr="00824DCC" w:rsidRDefault="00BF212E" w:rsidP="00BB641F">
            <w:pPr>
              <w:autoSpaceDE w:val="0"/>
              <w:autoSpaceDN w:val="0"/>
              <w:adjustRightInd w:val="0"/>
              <w:spacing w:after="0" w:line="360" w:lineRule="auto"/>
              <w:rPr>
                <w:b/>
                <w:lang w:val="es-MX"/>
              </w:rPr>
            </w:pPr>
          </w:p>
        </w:tc>
      </w:tr>
    </w:tbl>
    <w:p w14:paraId="1A5CABCE" w14:textId="77777777" w:rsidR="00863C71" w:rsidRDefault="003D0BCE"/>
    <w:sectPr w:rsidR="00863C7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B0EC0" w14:textId="77777777" w:rsidR="003D0BCE" w:rsidRDefault="003D0BCE" w:rsidP="00B51C13">
      <w:pPr>
        <w:spacing w:after="0" w:line="240" w:lineRule="auto"/>
      </w:pPr>
      <w:r>
        <w:separator/>
      </w:r>
    </w:p>
  </w:endnote>
  <w:endnote w:type="continuationSeparator" w:id="0">
    <w:p w14:paraId="54953693" w14:textId="77777777" w:rsidR="003D0BCE" w:rsidRDefault="003D0BCE" w:rsidP="00B5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610173"/>
      <w:docPartObj>
        <w:docPartGallery w:val="Page Numbers (Bottom of Page)"/>
        <w:docPartUnique/>
      </w:docPartObj>
    </w:sdtPr>
    <w:sdtEndPr/>
    <w:sdtContent>
      <w:p w14:paraId="1C5AACE5" w14:textId="4AEC36C0" w:rsidR="004039D6" w:rsidRDefault="004039D6">
        <w:pPr>
          <w:pStyle w:val="Piedepgina"/>
          <w:jc w:val="right"/>
        </w:pPr>
        <w:r>
          <w:fldChar w:fldCharType="begin"/>
        </w:r>
        <w:r>
          <w:instrText>PAGE   \* MERGEFORMAT</w:instrText>
        </w:r>
        <w:r>
          <w:fldChar w:fldCharType="separate"/>
        </w:r>
        <w:r w:rsidR="006D1B6C" w:rsidRPr="006D1B6C">
          <w:rPr>
            <w:noProof/>
            <w:lang w:val="es-ES"/>
          </w:rPr>
          <w:t>4</w:t>
        </w:r>
        <w:r>
          <w:fldChar w:fldCharType="end"/>
        </w:r>
      </w:p>
    </w:sdtContent>
  </w:sdt>
  <w:p w14:paraId="5DA782D7" w14:textId="77777777" w:rsidR="004039D6" w:rsidRDefault="004039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A50DA" w14:textId="77777777" w:rsidR="003D0BCE" w:rsidRDefault="003D0BCE" w:rsidP="00B51C13">
      <w:pPr>
        <w:spacing w:after="0" w:line="240" w:lineRule="auto"/>
      </w:pPr>
      <w:r>
        <w:separator/>
      </w:r>
    </w:p>
  </w:footnote>
  <w:footnote w:type="continuationSeparator" w:id="0">
    <w:p w14:paraId="27E1C94D" w14:textId="77777777" w:rsidR="003D0BCE" w:rsidRDefault="003D0BCE" w:rsidP="00B51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E7EDF" w14:textId="77777777" w:rsidR="00B51C13" w:rsidRDefault="00B51C13" w:rsidP="00B51C13">
    <w:pPr>
      <w:pStyle w:val="Encabezado"/>
      <w:jc w:val="center"/>
    </w:pPr>
    <w:r w:rsidRPr="00F709E3">
      <w:rPr>
        <w:noProof/>
        <w:lang w:val="en-US" w:eastAsia="en-US"/>
      </w:rPr>
      <w:drawing>
        <wp:inline distT="0" distB="0" distL="0" distR="0" wp14:anchorId="778E6CF8" wp14:editId="2DF74CBF">
          <wp:extent cx="1463040" cy="70929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709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81EFC"/>
    <w:multiLevelType w:val="hybridMultilevel"/>
    <w:tmpl w:val="2F309A62"/>
    <w:lvl w:ilvl="0" w:tplc="62C0B744">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18A0672"/>
    <w:multiLevelType w:val="hybridMultilevel"/>
    <w:tmpl w:val="11E83884"/>
    <w:lvl w:ilvl="0" w:tplc="D0A63082">
      <w:start w:val="1"/>
      <w:numFmt w:val="decimal"/>
      <w:lvlText w:val="%1."/>
      <w:lvlJc w:val="left"/>
      <w:pPr>
        <w:tabs>
          <w:tab w:val="num" w:pos="1080"/>
        </w:tabs>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9892D77"/>
    <w:multiLevelType w:val="hybridMultilevel"/>
    <w:tmpl w:val="F028BD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C2A7C18"/>
    <w:multiLevelType w:val="hybridMultilevel"/>
    <w:tmpl w:val="11E83884"/>
    <w:lvl w:ilvl="0" w:tplc="D0A63082">
      <w:start w:val="1"/>
      <w:numFmt w:val="decimal"/>
      <w:lvlText w:val="%1."/>
      <w:lvlJc w:val="left"/>
      <w:pPr>
        <w:tabs>
          <w:tab w:val="num" w:pos="1080"/>
        </w:tabs>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CD03723"/>
    <w:multiLevelType w:val="hybridMultilevel"/>
    <w:tmpl w:val="356E3408"/>
    <w:lvl w:ilvl="0" w:tplc="00E6AF94">
      <w:start w:val="1"/>
      <w:numFmt w:val="upperRoman"/>
      <w:lvlText w:val="%1."/>
      <w:lvlJc w:val="left"/>
      <w:pPr>
        <w:tabs>
          <w:tab w:val="num" w:pos="990"/>
        </w:tabs>
        <w:ind w:left="990" w:hanging="990"/>
      </w:pPr>
      <w:rPr>
        <w:rFonts w:hint="default"/>
      </w:rPr>
    </w:lvl>
    <w:lvl w:ilvl="1" w:tplc="D0A63082">
      <w:start w:val="1"/>
      <w:numFmt w:val="decimal"/>
      <w:lvlText w:val="%2."/>
      <w:lvlJc w:val="left"/>
      <w:pPr>
        <w:tabs>
          <w:tab w:val="num" w:pos="1080"/>
        </w:tabs>
        <w:ind w:left="1080" w:hanging="360"/>
      </w:pPr>
      <w:rPr>
        <w:rFonts w:hint="default"/>
      </w:rPr>
    </w:lvl>
    <w:lvl w:ilvl="2" w:tplc="0C0A000F">
      <w:start w:val="1"/>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71A058DB"/>
    <w:multiLevelType w:val="hybridMultilevel"/>
    <w:tmpl w:val="96920C2A"/>
    <w:lvl w:ilvl="0" w:tplc="9B10643A">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B036AD3"/>
    <w:multiLevelType w:val="hybridMultilevel"/>
    <w:tmpl w:val="0F4AE55C"/>
    <w:lvl w:ilvl="0" w:tplc="1EF4DFB0">
      <w:start w:val="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4F"/>
    <w:rsid w:val="00000203"/>
    <w:rsid w:val="000950D8"/>
    <w:rsid w:val="00101F57"/>
    <w:rsid w:val="00164ECD"/>
    <w:rsid w:val="001B4A22"/>
    <w:rsid w:val="001C3FFA"/>
    <w:rsid w:val="00237EDA"/>
    <w:rsid w:val="00285A40"/>
    <w:rsid w:val="002A6450"/>
    <w:rsid w:val="002B008B"/>
    <w:rsid w:val="002B6B4E"/>
    <w:rsid w:val="002C3C91"/>
    <w:rsid w:val="00326C69"/>
    <w:rsid w:val="00330674"/>
    <w:rsid w:val="00334F67"/>
    <w:rsid w:val="003D0BCE"/>
    <w:rsid w:val="004039D6"/>
    <w:rsid w:val="00420003"/>
    <w:rsid w:val="00472BA3"/>
    <w:rsid w:val="00496F65"/>
    <w:rsid w:val="004A7CD5"/>
    <w:rsid w:val="0052644F"/>
    <w:rsid w:val="00527ED4"/>
    <w:rsid w:val="005E7A72"/>
    <w:rsid w:val="00660085"/>
    <w:rsid w:val="00666E28"/>
    <w:rsid w:val="006914AB"/>
    <w:rsid w:val="006D1B6C"/>
    <w:rsid w:val="007042CD"/>
    <w:rsid w:val="0070532D"/>
    <w:rsid w:val="00747918"/>
    <w:rsid w:val="007F2E3C"/>
    <w:rsid w:val="00886500"/>
    <w:rsid w:val="008D3A91"/>
    <w:rsid w:val="008D4654"/>
    <w:rsid w:val="008E32B3"/>
    <w:rsid w:val="00906009"/>
    <w:rsid w:val="009154CA"/>
    <w:rsid w:val="00926BAE"/>
    <w:rsid w:val="0093233F"/>
    <w:rsid w:val="009371AC"/>
    <w:rsid w:val="00983198"/>
    <w:rsid w:val="009B6B94"/>
    <w:rsid w:val="009C0F27"/>
    <w:rsid w:val="009E4B2D"/>
    <w:rsid w:val="009E6BCA"/>
    <w:rsid w:val="00A25521"/>
    <w:rsid w:val="00A30F99"/>
    <w:rsid w:val="00A32BF3"/>
    <w:rsid w:val="00A500F3"/>
    <w:rsid w:val="00AB2BEF"/>
    <w:rsid w:val="00AE0D63"/>
    <w:rsid w:val="00AF77C4"/>
    <w:rsid w:val="00B34C4F"/>
    <w:rsid w:val="00B450BF"/>
    <w:rsid w:val="00B51C13"/>
    <w:rsid w:val="00B67260"/>
    <w:rsid w:val="00BA5A56"/>
    <w:rsid w:val="00BD0515"/>
    <w:rsid w:val="00BF212E"/>
    <w:rsid w:val="00C13BAD"/>
    <w:rsid w:val="00C14BED"/>
    <w:rsid w:val="00C81165"/>
    <w:rsid w:val="00CB39B3"/>
    <w:rsid w:val="00D34E39"/>
    <w:rsid w:val="00D37215"/>
    <w:rsid w:val="00DD1D23"/>
    <w:rsid w:val="00E56DEB"/>
    <w:rsid w:val="00E77FEF"/>
    <w:rsid w:val="00E841BC"/>
    <w:rsid w:val="00E961A0"/>
    <w:rsid w:val="00ED458B"/>
    <w:rsid w:val="00F03AA3"/>
    <w:rsid w:val="00F065E3"/>
    <w:rsid w:val="00FE41DD"/>
    <w:rsid w:val="00FF51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AD91"/>
  <w15:chartTrackingRefBased/>
  <w15:docId w15:val="{C120B790-6F93-4F71-B94A-5E5E4042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C4F"/>
    <w:pPr>
      <w:spacing w:after="200" w:line="276" w:lineRule="auto"/>
    </w:pPr>
    <w:rPr>
      <w:rFonts w:ascii="Calibri" w:eastAsia="Times New Roman" w:hAnsi="Calibri" w:cs="Times New Roman"/>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4C4F"/>
    <w:pPr>
      <w:ind w:left="720"/>
      <w:contextualSpacing/>
    </w:pPr>
  </w:style>
  <w:style w:type="paragraph" w:styleId="Encabezado">
    <w:name w:val="header"/>
    <w:basedOn w:val="Normal"/>
    <w:link w:val="EncabezadoCar"/>
    <w:uiPriority w:val="99"/>
    <w:unhideWhenUsed/>
    <w:rsid w:val="00B51C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1C13"/>
    <w:rPr>
      <w:rFonts w:ascii="Calibri" w:eastAsia="Times New Roman" w:hAnsi="Calibri" w:cs="Times New Roman"/>
      <w:lang w:eastAsia="es-CL"/>
    </w:rPr>
  </w:style>
  <w:style w:type="paragraph" w:styleId="Piedepgina">
    <w:name w:val="footer"/>
    <w:basedOn w:val="Normal"/>
    <w:link w:val="PiedepginaCar"/>
    <w:uiPriority w:val="99"/>
    <w:unhideWhenUsed/>
    <w:rsid w:val="00B51C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1C13"/>
    <w:rPr>
      <w:rFonts w:ascii="Calibri" w:eastAsia="Times New Roman" w:hAnsi="Calibri" w:cs="Times New Roman"/>
      <w:lang w:eastAsia="es-CL"/>
    </w:rPr>
  </w:style>
  <w:style w:type="paragraph" w:styleId="Subttulo">
    <w:name w:val="Subtitle"/>
    <w:basedOn w:val="Normal"/>
    <w:link w:val="SubttuloCar"/>
    <w:qFormat/>
    <w:rsid w:val="00B51C13"/>
    <w:pPr>
      <w:spacing w:after="0" w:line="240" w:lineRule="auto"/>
      <w:jc w:val="center"/>
    </w:pPr>
    <w:rPr>
      <w:rFonts w:ascii="Times New Roman" w:hAnsi="Times New Roman"/>
      <w:sz w:val="24"/>
      <w:szCs w:val="20"/>
      <w:u w:val="single"/>
      <w:lang w:val="x-none" w:eastAsia="x-none"/>
    </w:rPr>
  </w:style>
  <w:style w:type="character" w:customStyle="1" w:styleId="SubttuloCar">
    <w:name w:val="Subtítulo Car"/>
    <w:basedOn w:val="Fuentedeprrafopredeter"/>
    <w:link w:val="Subttulo"/>
    <w:rsid w:val="00B51C13"/>
    <w:rPr>
      <w:rFonts w:ascii="Times New Roman" w:eastAsia="Times New Roman" w:hAnsi="Times New Roman" w:cs="Times New Roman"/>
      <w:sz w:val="24"/>
      <w:szCs w:val="20"/>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800</Words>
  <Characters>4563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dc:creator>
  <cp:keywords/>
  <dc:description/>
  <cp:lastModifiedBy>MAURICIO_LAB</cp:lastModifiedBy>
  <cp:revision>4</cp:revision>
  <dcterms:created xsi:type="dcterms:W3CDTF">2022-12-21T16:09:00Z</dcterms:created>
  <dcterms:modified xsi:type="dcterms:W3CDTF">2022-12-21T16:34:00Z</dcterms:modified>
</cp:coreProperties>
</file>