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Trabajo final: deconstruir un género literario</w:t>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lo conversado en las sesiones, </w:t>
      </w:r>
      <w:r w:rsidDel="00000000" w:rsidR="00000000" w:rsidRPr="00000000">
        <w:rPr>
          <w:rFonts w:ascii="Times New Roman" w:cs="Times New Roman" w:eastAsia="Times New Roman" w:hAnsi="Times New Roman"/>
          <w:i w:val="1"/>
          <w:sz w:val="24"/>
          <w:szCs w:val="24"/>
          <w:rtl w:val="0"/>
        </w:rPr>
        <w:t xml:space="preserve">deconstruye </w:t>
      </w:r>
      <w:r w:rsidDel="00000000" w:rsidR="00000000" w:rsidRPr="00000000">
        <w:rPr>
          <w:rFonts w:ascii="Times New Roman" w:cs="Times New Roman" w:eastAsia="Times New Roman" w:hAnsi="Times New Roman"/>
          <w:sz w:val="24"/>
          <w:szCs w:val="24"/>
          <w:rtl w:val="0"/>
        </w:rPr>
        <w:t xml:space="preserve">uno o más géneros literarios, </w:t>
      </w:r>
      <w:r w:rsidDel="00000000" w:rsidR="00000000" w:rsidRPr="00000000">
        <w:rPr>
          <w:rFonts w:ascii="Times New Roman" w:cs="Times New Roman" w:eastAsia="Times New Roman" w:hAnsi="Times New Roman"/>
          <w:sz w:val="24"/>
          <w:szCs w:val="24"/>
          <w:rtl w:val="0"/>
        </w:rPr>
        <w:t xml:space="preserve">considerando las características inherentes a cada uno y las diversas formas de transgredir la estructura preestablecida por la academia. </w:t>
      </w:r>
    </w:p>
    <w:p w:rsidR="00000000" w:rsidDel="00000000" w:rsidP="00000000" w:rsidRDefault="00000000" w:rsidRPr="00000000" w14:paraId="00000005">
      <w:pPr>
        <w:ind w:left="0" w:firstLine="0"/>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3630"/>
        <w:gridCol w:w="3660"/>
        <w:tblGridChange w:id="0">
          <w:tblGrid>
            <w:gridCol w:w="1710"/>
            <w:gridCol w:w="3630"/>
            <w:gridCol w:w="3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Ejemplo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Primer paso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Selecciona </w:t>
            </w:r>
            <w:r w:rsidDel="00000000" w:rsidR="00000000" w:rsidRPr="00000000">
              <w:rPr>
                <w:rFonts w:ascii="Times New Roman" w:cs="Times New Roman" w:eastAsia="Times New Roman" w:hAnsi="Times New Roman"/>
                <w:sz w:val="24"/>
                <w:szCs w:val="24"/>
                <w:rtl w:val="0"/>
              </w:rPr>
              <w:t xml:space="preserve">un género literario.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Pepa elige el género lírico, ya que ama a Gabriela Mistral.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paso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Analiza el género aplicando el método </w:t>
            </w:r>
            <w:r w:rsidDel="00000000" w:rsidR="00000000" w:rsidRPr="00000000">
              <w:rPr>
                <w:rFonts w:ascii="Times New Roman" w:cs="Times New Roman" w:eastAsia="Times New Roman" w:hAnsi="Times New Roman"/>
                <w:b w:val="1"/>
                <w:sz w:val="24"/>
                <w:szCs w:val="24"/>
                <w:rtl w:val="0"/>
              </w:rPr>
              <w:t xml:space="preserve">formalista</w:t>
            </w:r>
            <w:r w:rsidDel="00000000" w:rsidR="00000000" w:rsidRPr="00000000">
              <w:rPr>
                <w:rFonts w:ascii="Times New Roman" w:cs="Times New Roman" w:eastAsia="Times New Roman" w:hAnsi="Times New Roman"/>
                <w:sz w:val="24"/>
                <w:szCs w:val="24"/>
                <w:rtl w:val="0"/>
              </w:rPr>
              <w:t xml:space="preserve">, en conjunto con las reglas de enunciación (características). Puedes apoyarte en la </w:t>
            </w:r>
            <w:r w:rsidDel="00000000" w:rsidR="00000000" w:rsidRPr="00000000">
              <w:rPr>
                <w:rFonts w:ascii="Times New Roman" w:cs="Times New Roman" w:eastAsia="Times New Roman" w:hAnsi="Times New Roman"/>
                <w:i w:val="1"/>
                <w:sz w:val="24"/>
                <w:szCs w:val="24"/>
                <w:rtl w:val="0"/>
              </w:rPr>
              <w:t xml:space="preserve">Tabla para la deconstrucción de los géneros.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Pepa elige su poema favorito de Mistral y lo analiza apoyándose en la tabla. A partir de esto, observa la frecuencia del uso de figuras literarias, especialmente metáforas y personificaciones.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Tercer paso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Transgrede</w:t>
            </w:r>
            <w:r w:rsidDel="00000000" w:rsidR="00000000" w:rsidRPr="00000000">
              <w:rPr>
                <w:rFonts w:ascii="Times New Roman" w:cs="Times New Roman" w:eastAsia="Times New Roman" w:hAnsi="Times New Roman"/>
                <w:sz w:val="24"/>
                <w:szCs w:val="24"/>
                <w:rtl w:val="0"/>
              </w:rPr>
              <w:t xml:space="preserve"> las normas del género! Puedes hacerlo de muchas formas: combinándolo con otro género literario, invirtiendo una o más reglas, incluso puedes crear tu propio género literario o no literario.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mañana de lucidez, Pepa se preguntó: ¿qué pasaría si las figuras retóricas fueran reemplazadas por el sentido que desprenden? De inmediato, Pepa se puso a trabajar en su transgresión: como una cirujana extrajo todas las metáforas, metonimias y personificaciones. Luego, transformó los versos en prosa, uniendo con conectores cuando era necesario. Decidió que la narradora sería la autora misma, en primera persona.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Cuarto paso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te sientas lista/o/e, lee en voz alta tu texto y ponle un título. Te recomiendo </w:t>
            </w:r>
            <w:r w:rsidDel="00000000" w:rsidR="00000000" w:rsidRPr="00000000">
              <w:rPr>
                <w:rFonts w:ascii="Times New Roman" w:cs="Times New Roman" w:eastAsia="Times New Roman" w:hAnsi="Times New Roman"/>
                <w:b w:val="1"/>
                <w:sz w:val="24"/>
                <w:szCs w:val="24"/>
                <w:rtl w:val="0"/>
              </w:rPr>
              <w:t xml:space="preserve">compartirlo </w:t>
            </w:r>
            <w:r w:rsidDel="00000000" w:rsidR="00000000" w:rsidRPr="00000000">
              <w:rPr>
                <w:rFonts w:ascii="Times New Roman" w:cs="Times New Roman" w:eastAsia="Times New Roman" w:hAnsi="Times New Roman"/>
                <w:sz w:val="24"/>
                <w:szCs w:val="24"/>
                <w:rtl w:val="0"/>
              </w:rPr>
              <w:t xml:space="preserve">con otras personas y seguir indagando en la construcción y deconstrucción de los géneros literarios.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 leer en su pieza el nuevo texto, Pepa corrigió los últimos detalles, para compartir el escrito con sus amigas, todas fanáticas de Mistral. En la noche hizo furor con su lectura, recibió ideas para un buen título y consejos para seguir escribiendo de forma rebelde.</w:t>
            </w:r>
          </w:p>
        </w:tc>
      </w:tr>
    </w:tbl>
    <w:p w:rsidR="00000000" w:rsidDel="00000000" w:rsidP="00000000" w:rsidRDefault="00000000" w:rsidRPr="00000000" w14:paraId="0000001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Tabla para la deconstrucción de los géneros</w:t>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3360"/>
        <w:gridCol w:w="3555"/>
        <w:tblGridChange w:id="0">
          <w:tblGrid>
            <w:gridCol w:w="2085"/>
            <w:gridCol w:w="3360"/>
            <w:gridCol w:w="3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Género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Estructura (elementos formales)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Reglas de enunciación (características)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1">
      <w:pPr>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widowControl w:val="0"/>
      <w:spacing w:line="240" w:lineRule="auto"/>
      <w:rPr/>
    </w:pPr>
    <w:r w:rsidDel="00000000" w:rsidR="00000000" w:rsidRPr="00000000">
      <w:rPr/>
      <w:drawing>
        <wp:inline distB="114300" distT="114300" distL="114300" distR="114300">
          <wp:extent cx="919163" cy="6468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6468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