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39E" w:rsidRDefault="00CF239E" w:rsidP="00F21493">
      <w:pPr>
        <w:jc w:val="center"/>
      </w:pPr>
    </w:p>
    <w:p w:rsidR="00FC1503" w:rsidRDefault="00F21493" w:rsidP="00F21493">
      <w:pPr>
        <w:jc w:val="center"/>
      </w:pPr>
      <w:r>
        <w:t>EJERCICIOS PRÁCTICOS</w:t>
      </w:r>
    </w:p>
    <w:p w:rsidR="00F21493" w:rsidRDefault="00F21493" w:rsidP="00F21493">
      <w:pPr>
        <w:jc w:val="center"/>
      </w:pPr>
    </w:p>
    <w:p w:rsidR="00F21493" w:rsidRDefault="00F21493" w:rsidP="00F21493">
      <w:pPr>
        <w:jc w:val="both"/>
        <w:rPr>
          <w:sz w:val="22"/>
          <w:szCs w:val="22"/>
        </w:rPr>
      </w:pPr>
    </w:p>
    <w:p w:rsidR="00F21493" w:rsidRPr="00F21493" w:rsidRDefault="00F21493" w:rsidP="00F21493">
      <w:pPr>
        <w:pStyle w:val="Prrafodelista"/>
        <w:numPr>
          <w:ilvl w:val="0"/>
          <w:numId w:val="2"/>
        </w:numPr>
        <w:ind w:left="567" w:hanging="567"/>
        <w:jc w:val="both"/>
        <w:rPr>
          <w:sz w:val="22"/>
          <w:szCs w:val="22"/>
        </w:rPr>
      </w:pPr>
      <w:r w:rsidRPr="00F21493">
        <w:rPr>
          <w:sz w:val="22"/>
          <w:szCs w:val="22"/>
        </w:rPr>
        <w:t>Una Municipalidad del norte del país debe construir una escuela básica. De acuerdo a los antecedentes entregados por el constructor que asesora el proyecto, existen dos posibles tipos de construcción. Los datos de ambas alternativas son las siguientes:</w:t>
      </w:r>
    </w:p>
    <w:p w:rsidR="00F21493" w:rsidRPr="00CD11A6" w:rsidRDefault="00F21493" w:rsidP="00F21493">
      <w:pPr>
        <w:jc w:val="both"/>
        <w:rPr>
          <w:sz w:val="22"/>
          <w:szCs w:val="22"/>
        </w:rPr>
      </w:pPr>
    </w:p>
    <w:p w:rsidR="00F21493" w:rsidRPr="00F21493" w:rsidRDefault="00F21493" w:rsidP="00F21493">
      <w:pPr>
        <w:pStyle w:val="Prrafodelista"/>
        <w:numPr>
          <w:ilvl w:val="0"/>
          <w:numId w:val="1"/>
        </w:numPr>
        <w:ind w:left="851"/>
        <w:jc w:val="both"/>
        <w:rPr>
          <w:sz w:val="22"/>
          <w:szCs w:val="22"/>
        </w:rPr>
      </w:pPr>
      <w:r w:rsidRPr="00F21493">
        <w:rPr>
          <w:sz w:val="22"/>
          <w:szCs w:val="22"/>
        </w:rPr>
        <w:t>Construcción Sólida:</w:t>
      </w:r>
      <w:r>
        <w:rPr>
          <w:sz w:val="22"/>
          <w:szCs w:val="22"/>
        </w:rPr>
        <w:t xml:space="preserve"> </w:t>
      </w:r>
      <w:r w:rsidRPr="00F21493">
        <w:rPr>
          <w:sz w:val="22"/>
          <w:szCs w:val="22"/>
        </w:rPr>
        <w:t>Esta construcción tiene un costo de inversión de $80 millones. El costo de mantención anual (principalmente por pintura) es de $1,5 millones. Por otra parte, cada 4 años se deberá realizar una reparación de muros y pisos, por un costo de $3 millones. La vida útil de esta construcción es de 16 años.</w:t>
      </w:r>
    </w:p>
    <w:p w:rsidR="00F21493" w:rsidRPr="00CD11A6" w:rsidRDefault="00F21493" w:rsidP="00F21493">
      <w:pPr>
        <w:ind w:left="851"/>
        <w:jc w:val="both"/>
        <w:rPr>
          <w:sz w:val="22"/>
          <w:szCs w:val="22"/>
        </w:rPr>
      </w:pPr>
    </w:p>
    <w:p w:rsidR="00F21493" w:rsidRPr="00F21493" w:rsidRDefault="00F21493" w:rsidP="00F21493">
      <w:pPr>
        <w:pStyle w:val="Prrafodelista"/>
        <w:numPr>
          <w:ilvl w:val="0"/>
          <w:numId w:val="1"/>
        </w:numPr>
        <w:ind w:left="851"/>
        <w:jc w:val="both"/>
        <w:rPr>
          <w:sz w:val="22"/>
          <w:szCs w:val="22"/>
        </w:rPr>
      </w:pPr>
      <w:r w:rsidRPr="00F21493">
        <w:rPr>
          <w:sz w:val="22"/>
          <w:szCs w:val="22"/>
        </w:rPr>
        <w:t>Construcción de Madera:</w:t>
      </w:r>
      <w:r>
        <w:rPr>
          <w:sz w:val="22"/>
          <w:szCs w:val="22"/>
        </w:rPr>
        <w:t xml:space="preserve"> </w:t>
      </w:r>
      <w:r w:rsidRPr="00F21493">
        <w:rPr>
          <w:sz w:val="22"/>
          <w:szCs w:val="22"/>
        </w:rPr>
        <w:t>Esta construcción tiene un costo de inversión de $40 millones. El costo de mantención anual (por pintura y reparaciones menores) es de $3 millones. Por otra parte, cada 3 años se deberá realizar una reparación general, por un costo de $6 millones. La vida útil de esta construcción es de  12 años.</w:t>
      </w:r>
    </w:p>
    <w:p w:rsidR="00F21493" w:rsidRPr="00CD11A6" w:rsidRDefault="00F21493" w:rsidP="00F21493">
      <w:pPr>
        <w:ind w:left="851"/>
        <w:jc w:val="both"/>
        <w:rPr>
          <w:sz w:val="22"/>
          <w:szCs w:val="22"/>
        </w:rPr>
      </w:pPr>
    </w:p>
    <w:p w:rsidR="00F21493" w:rsidRPr="00CD11A6" w:rsidRDefault="00F21493" w:rsidP="00F21493">
      <w:pPr>
        <w:ind w:left="567"/>
        <w:jc w:val="both"/>
        <w:rPr>
          <w:sz w:val="22"/>
          <w:szCs w:val="22"/>
        </w:rPr>
      </w:pPr>
      <w:r w:rsidRPr="00CD11A6">
        <w:rPr>
          <w:sz w:val="22"/>
          <w:szCs w:val="22"/>
        </w:rPr>
        <w:t>Si ambas construcciones pueden atender a una misma cantidad de alumnos</w:t>
      </w:r>
      <w:r>
        <w:rPr>
          <w:sz w:val="22"/>
          <w:szCs w:val="22"/>
        </w:rPr>
        <w:t xml:space="preserve"> con igual nivel de calidad de educación</w:t>
      </w:r>
      <w:r w:rsidRPr="00CD11A6">
        <w:rPr>
          <w:sz w:val="22"/>
          <w:szCs w:val="22"/>
        </w:rPr>
        <w:t xml:space="preserve">, ¿cuál alternativa es la </w:t>
      </w:r>
      <w:r>
        <w:rPr>
          <w:sz w:val="22"/>
          <w:szCs w:val="22"/>
        </w:rPr>
        <w:t>más conveniente</w:t>
      </w:r>
      <w:r w:rsidRPr="00CD11A6">
        <w:rPr>
          <w:sz w:val="22"/>
          <w:szCs w:val="22"/>
        </w:rPr>
        <w:t xml:space="preserve"> para la Municipalidad, si su tasa de descuento relevante es 10% anual?</w:t>
      </w:r>
    </w:p>
    <w:p w:rsidR="00F21493" w:rsidRDefault="00F21493" w:rsidP="00F21493">
      <w:pPr>
        <w:ind w:left="567"/>
        <w:jc w:val="both"/>
        <w:rPr>
          <w:sz w:val="22"/>
          <w:szCs w:val="22"/>
        </w:rPr>
      </w:pPr>
    </w:p>
    <w:p w:rsidR="00F21493" w:rsidRPr="00CD11A6" w:rsidRDefault="00F21493" w:rsidP="00F21493">
      <w:pPr>
        <w:ind w:left="567"/>
        <w:jc w:val="both"/>
        <w:rPr>
          <w:sz w:val="22"/>
          <w:szCs w:val="22"/>
        </w:rPr>
      </w:pPr>
      <w:r w:rsidRPr="00CD11A6">
        <w:rPr>
          <w:sz w:val="22"/>
          <w:szCs w:val="22"/>
        </w:rPr>
        <w:t>Nota: En el último año de vida útil de ambas alternativas no es necesario realizar mantenciones ni reparaciones.</w:t>
      </w:r>
    </w:p>
    <w:p w:rsidR="00F21493" w:rsidRPr="00CD11A6" w:rsidRDefault="00F21493" w:rsidP="00F21493">
      <w:pPr>
        <w:jc w:val="both"/>
        <w:rPr>
          <w:sz w:val="22"/>
          <w:szCs w:val="22"/>
          <w:lang w:bidi="he-IL"/>
        </w:rPr>
      </w:pPr>
    </w:p>
    <w:p w:rsidR="007F4461" w:rsidRDefault="003D043E" w:rsidP="007F4461">
      <w:pPr>
        <w:pStyle w:val="Prrafodelista"/>
        <w:numPr>
          <w:ilvl w:val="0"/>
          <w:numId w:val="2"/>
        </w:numPr>
        <w:ind w:hanging="720"/>
        <w:jc w:val="both"/>
      </w:pPr>
      <w:r>
        <w:t xml:space="preserve">El pueblo de </w:t>
      </w:r>
      <w:proofErr w:type="spellStart"/>
      <w:r>
        <w:t>Vemospoco</w:t>
      </w:r>
      <w:proofErr w:type="spellEnd"/>
      <w:r>
        <w:t xml:space="preserve"> no cuenta con energía eléctrica por red, por lo que deben utilizar sustitutos como velas, pilas y kerosene. El municipio está estudiando el proyecto de instalar el servicio en dicha localidad y le solicita a Ud. que realice la evaluación privada y social.</w:t>
      </w:r>
    </w:p>
    <w:p w:rsidR="003D043E" w:rsidRDefault="003D043E" w:rsidP="003D043E"/>
    <w:p w:rsidR="003D043E" w:rsidRDefault="003D043E" w:rsidP="003D043E">
      <w:pPr>
        <w:ind w:left="567"/>
        <w:jc w:val="both"/>
      </w:pPr>
      <w:r>
        <w:t xml:space="preserve">De acuerdo a la información recopilada, existen 100 hogares de bajos ingresos, 60 de ingresos medios y 5 de ingresos altos. Para determinar la situación actual de consumo y precios se realizó una encuesta a todas las familias de </w:t>
      </w:r>
      <w:proofErr w:type="spellStart"/>
      <w:r>
        <w:t>Vemospoco</w:t>
      </w:r>
      <w:proofErr w:type="spellEnd"/>
      <w:r>
        <w:t>, cuyos resultados se presentan a continuación.</w:t>
      </w:r>
    </w:p>
    <w:p w:rsidR="003D043E" w:rsidRDefault="003D043E" w:rsidP="003D043E">
      <w:pPr>
        <w:ind w:left="567"/>
        <w:jc w:val="both"/>
      </w:pPr>
    </w:p>
    <w:tbl>
      <w:tblPr>
        <w:tblW w:w="7646" w:type="dxa"/>
        <w:jc w:val="center"/>
        <w:tblCellMar>
          <w:left w:w="0" w:type="dxa"/>
          <w:right w:w="0" w:type="dxa"/>
        </w:tblCellMar>
        <w:tblLook w:val="0000"/>
      </w:tblPr>
      <w:tblGrid>
        <w:gridCol w:w="1646"/>
        <w:gridCol w:w="1271"/>
        <w:gridCol w:w="1172"/>
        <w:gridCol w:w="1355"/>
        <w:gridCol w:w="1101"/>
        <w:gridCol w:w="1101"/>
      </w:tblGrid>
      <w:tr w:rsidR="003D043E" w:rsidTr="00BF2DBA">
        <w:trPr>
          <w:trHeight w:val="255"/>
          <w:jc w:val="center"/>
        </w:trPr>
        <w:tc>
          <w:tcPr>
            <w:tcW w:w="164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Factores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Consumo Mensual Promedio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Precio</w:t>
            </w:r>
          </w:p>
        </w:tc>
      </w:tr>
      <w:tr w:rsidR="003D043E" w:rsidTr="00BF2DBA">
        <w:trPr>
          <w:trHeight w:val="255"/>
          <w:jc w:val="center"/>
        </w:trPr>
        <w:tc>
          <w:tcPr>
            <w:tcW w:w="16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conversión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[Fuente/Mes/Familia]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Unitario</w:t>
            </w:r>
          </w:p>
        </w:tc>
      </w:tr>
      <w:tr w:rsidR="003D043E" w:rsidTr="00BF2DBA">
        <w:trPr>
          <w:trHeight w:val="255"/>
          <w:jc w:val="center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Energía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Ing. Bajos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Ing. Medios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Ing. Altos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[$/fuente]</w:t>
            </w:r>
          </w:p>
        </w:tc>
      </w:tr>
      <w:tr w:rsidR="003D043E" w:rsidTr="00BF2DBA">
        <w:trPr>
          <w:trHeight w:val="255"/>
          <w:jc w:val="center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Velas (u)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3D043E" w:rsidTr="00BF2DBA">
        <w:trPr>
          <w:trHeight w:val="255"/>
          <w:jc w:val="center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Baterías (cargas)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0,576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 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 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40</w:t>
            </w:r>
          </w:p>
        </w:tc>
      </w:tr>
      <w:tr w:rsidR="003D043E" w:rsidTr="00BF2DBA">
        <w:trPr>
          <w:trHeight w:val="255"/>
          <w:jc w:val="center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Pilas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(nº)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3D043E" w:rsidTr="00BF2DBA">
        <w:trPr>
          <w:trHeight w:val="255"/>
          <w:jc w:val="center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Kerosene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D043E" w:rsidTr="00BF2DBA">
        <w:trPr>
          <w:trHeight w:val="255"/>
          <w:jc w:val="center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Diesel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43E" w:rsidRDefault="003D043E" w:rsidP="00BF2D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:rsidR="003D043E" w:rsidRDefault="003D043E" w:rsidP="003D043E"/>
    <w:p w:rsidR="003D043E" w:rsidRDefault="003D043E" w:rsidP="003D043E"/>
    <w:p w:rsidR="003D043E" w:rsidRDefault="003D043E" w:rsidP="003D043E">
      <w:pPr>
        <w:tabs>
          <w:tab w:val="left" w:pos="567"/>
        </w:tabs>
        <w:ind w:left="567"/>
        <w:jc w:val="both"/>
      </w:pPr>
      <w:r>
        <w:t xml:space="preserve">Una vez ejecutado el proyecto el precio que deberán pagar las familias es de 2 $/KWH (costo marginal de producción) y un cargo fijo mensual de $40 por familia. Los registros de consumo del pueblo de </w:t>
      </w:r>
      <w:proofErr w:type="spellStart"/>
      <w:r>
        <w:t>Chitaquevemos</w:t>
      </w:r>
      <w:proofErr w:type="spellEnd"/>
      <w:r>
        <w:t xml:space="preserve"> (localidad vecina de </w:t>
      </w:r>
      <w:proofErr w:type="spellStart"/>
      <w:r>
        <w:t>Vemospoco</w:t>
      </w:r>
      <w:proofErr w:type="spellEnd"/>
      <w:r>
        <w:t xml:space="preserve"> que cuenta en la actualidad con energía eléctrica) </w:t>
      </w:r>
      <w:r>
        <w:lastRenderedPageBreak/>
        <w:t xml:space="preserve">indican que al operar el proyecto el consumo mensual será de 9 </w:t>
      </w:r>
      <w:proofErr w:type="spellStart"/>
      <w:r>
        <w:t>Kwh</w:t>
      </w:r>
      <w:proofErr w:type="spellEnd"/>
      <w:r>
        <w:t xml:space="preserve">  para las familias de bajos ingresos de 15 </w:t>
      </w:r>
      <w:proofErr w:type="spellStart"/>
      <w:r>
        <w:t>kwh</w:t>
      </w:r>
      <w:proofErr w:type="spellEnd"/>
      <w:r>
        <w:t xml:space="preserve"> para las familias de ingresos medio y 60 </w:t>
      </w:r>
      <w:proofErr w:type="spellStart"/>
      <w:r>
        <w:t>kwh</w:t>
      </w:r>
      <w:proofErr w:type="spellEnd"/>
      <w:r>
        <w:t xml:space="preserve"> para las familias de ingresos altos.</w:t>
      </w:r>
    </w:p>
    <w:p w:rsidR="003D043E" w:rsidRDefault="003D043E" w:rsidP="003D043E">
      <w:pPr>
        <w:jc w:val="both"/>
      </w:pPr>
    </w:p>
    <w:p w:rsidR="003D043E" w:rsidRDefault="003D043E" w:rsidP="00BF2DBA">
      <w:pPr>
        <w:ind w:left="426"/>
        <w:jc w:val="both"/>
      </w:pPr>
      <w:r>
        <w:t>El estudio “estimación de la forma funcional de la curva de demanda por energía eléctrica residencial” realizado por la Secretaría de Planificación Nacional concluyó que la función de demanda es lineal.</w:t>
      </w:r>
    </w:p>
    <w:p w:rsidR="003D043E" w:rsidRDefault="003D043E" w:rsidP="00BF2DBA">
      <w:pPr>
        <w:ind w:left="426"/>
        <w:jc w:val="both"/>
      </w:pPr>
    </w:p>
    <w:p w:rsidR="003D043E" w:rsidRDefault="003D043E" w:rsidP="00BF2DBA">
      <w:pPr>
        <w:ind w:left="426"/>
        <w:jc w:val="both"/>
      </w:pPr>
      <w:r>
        <w:t>La empresa eléctrica que ejecutará el proyectó deberá invertir $700.000 en extensión de redes, equipos y mano de obra e incurrir en costos fijos adicionales de $6.000 anuales. Estudios anteriores indican que en este tipo de proyectos el factor de corrección a precios sociales es de 0,8 para la inversión y de 0,9 para los costos fijos.</w:t>
      </w:r>
    </w:p>
    <w:p w:rsidR="003D043E" w:rsidRDefault="003D043E" w:rsidP="00BF2DBA">
      <w:pPr>
        <w:ind w:left="426"/>
        <w:jc w:val="both"/>
      </w:pPr>
    </w:p>
    <w:p w:rsidR="003D043E" w:rsidRDefault="003D043E" w:rsidP="00BF2DBA">
      <w:pPr>
        <w:ind w:left="426"/>
        <w:jc w:val="both"/>
      </w:pPr>
      <w:r>
        <w:t>Si además dispone de los siguientes datos:</w:t>
      </w:r>
    </w:p>
    <w:p w:rsidR="003D043E" w:rsidRDefault="003D043E" w:rsidP="003D043E">
      <w:pPr>
        <w:pStyle w:val="Prrafodelista"/>
        <w:numPr>
          <w:ilvl w:val="0"/>
          <w:numId w:val="3"/>
        </w:numPr>
        <w:jc w:val="both"/>
      </w:pPr>
      <w:r>
        <w:t>el número de hogares crecerá a una tasa de 2% anual,</w:t>
      </w:r>
    </w:p>
    <w:p w:rsidR="003D043E" w:rsidRDefault="003D043E" w:rsidP="003D043E">
      <w:pPr>
        <w:pStyle w:val="Prrafodelista"/>
        <w:numPr>
          <w:ilvl w:val="0"/>
          <w:numId w:val="3"/>
        </w:numPr>
        <w:jc w:val="both"/>
      </w:pPr>
      <w:r>
        <w:t>el horizonte de evaluación es de 30 años,</w:t>
      </w:r>
    </w:p>
    <w:p w:rsidR="003D043E" w:rsidRDefault="003D043E" w:rsidP="003D043E">
      <w:pPr>
        <w:pStyle w:val="Prrafodelista"/>
        <w:numPr>
          <w:ilvl w:val="0"/>
          <w:numId w:val="3"/>
        </w:numPr>
        <w:jc w:val="both"/>
      </w:pPr>
      <w:r>
        <w:t>El valor residual de la infraestructura a los 30 años es de 20% del valor inicial de la inversión, y</w:t>
      </w:r>
    </w:p>
    <w:p w:rsidR="003D043E" w:rsidRDefault="003D043E" w:rsidP="003D043E">
      <w:pPr>
        <w:pStyle w:val="Prrafodelista"/>
        <w:numPr>
          <w:ilvl w:val="0"/>
          <w:numId w:val="3"/>
        </w:numPr>
        <w:jc w:val="both"/>
      </w:pPr>
      <w:r>
        <w:t>la tasa de descuento social es 6% y la privada 10%</w:t>
      </w:r>
    </w:p>
    <w:p w:rsidR="003D043E" w:rsidRDefault="003D043E" w:rsidP="003D043E">
      <w:pPr>
        <w:jc w:val="both"/>
      </w:pPr>
    </w:p>
    <w:p w:rsidR="003D043E" w:rsidRDefault="003D043E" w:rsidP="00BF2DBA">
      <w:pPr>
        <w:ind w:left="426"/>
        <w:jc w:val="both"/>
      </w:pPr>
      <w:r>
        <w:t>¿Qué le recomendaría hacer al municipio?</w:t>
      </w:r>
    </w:p>
    <w:p w:rsidR="00F21493" w:rsidRDefault="00F21493"/>
    <w:p w:rsidR="003D043E" w:rsidRDefault="003D043E"/>
    <w:p w:rsidR="007F4461" w:rsidRPr="005C67B4" w:rsidRDefault="00BF2DBA" w:rsidP="007F4461">
      <w:pPr>
        <w:pStyle w:val="Prrafodelista"/>
        <w:numPr>
          <w:ilvl w:val="0"/>
          <w:numId w:val="2"/>
        </w:numPr>
        <w:ind w:hanging="720"/>
        <w:jc w:val="both"/>
      </w:pPr>
      <w:r w:rsidRPr="005C67B4">
        <w:t xml:space="preserve">Ud. desea renovar </w:t>
      </w:r>
      <w:r w:rsidR="007F4461">
        <w:t>un</w:t>
      </w:r>
      <w:r w:rsidRPr="005C67B4">
        <w:t xml:space="preserve"> equipo por otro más moderno</w:t>
      </w:r>
      <w:r w:rsidR="007F4461">
        <w:t>, lo</w:t>
      </w:r>
      <w:r w:rsidRPr="005C67B4">
        <w:t xml:space="preserve"> que permitiría disminuir los costos de operación</w:t>
      </w:r>
      <w:r w:rsidR="007F4461">
        <w:t xml:space="preserve"> de su empresa</w:t>
      </w:r>
      <w:r w:rsidRPr="005C67B4">
        <w:t>. La vida útil económica de ambos equipos es de cuatro años (nota: no considere en ningún caso la depreciación de los equipos). Se presentan a continuación los valores de los equipos con sus ingresos y costos anuales esperados.</w:t>
      </w:r>
    </w:p>
    <w:p w:rsidR="00BF2DBA" w:rsidRPr="005C67B4" w:rsidRDefault="00BF2DBA" w:rsidP="00BF2DBA"/>
    <w:p w:rsidR="00BF2DBA" w:rsidRPr="005C67B4" w:rsidRDefault="00BF2DBA" w:rsidP="00BF2DBA">
      <w:pPr>
        <w:rPr>
          <w:b/>
          <w:bCs/>
        </w:rPr>
      </w:pPr>
      <w:r w:rsidRPr="005C67B4">
        <w:tab/>
      </w:r>
      <w:r w:rsidRPr="005C67B4">
        <w:rPr>
          <w:b/>
          <w:bCs/>
        </w:rPr>
        <w:t>Equipo antiguo:</w:t>
      </w:r>
    </w:p>
    <w:p w:rsidR="00BF2DBA" w:rsidRPr="005C67B4" w:rsidRDefault="00BF2DBA" w:rsidP="00BF2DBA">
      <w:r w:rsidRPr="005C67B4">
        <w:tab/>
        <w:t xml:space="preserve">-Valor de venta hoy :      </w:t>
      </w:r>
      <w:r w:rsidRPr="005C67B4">
        <w:tab/>
      </w:r>
      <w:r w:rsidRPr="005C67B4">
        <w:tab/>
        <w:t>$10.000</w:t>
      </w:r>
    </w:p>
    <w:p w:rsidR="00BF2DBA" w:rsidRPr="005C67B4" w:rsidRDefault="00BF2DBA" w:rsidP="00BF2DBA">
      <w:r w:rsidRPr="005C67B4">
        <w:tab/>
        <w:t xml:space="preserve">-Costo de operación anual: </w:t>
      </w:r>
      <w:r w:rsidR="007F4461">
        <w:tab/>
      </w:r>
      <w:r w:rsidR="007F4461">
        <w:tab/>
      </w:r>
      <w:r w:rsidRPr="005C67B4">
        <w:t>$     500</w:t>
      </w:r>
    </w:p>
    <w:p w:rsidR="00BF2DBA" w:rsidRPr="005C67B4" w:rsidRDefault="007F4461" w:rsidP="00BF2DBA">
      <w:r>
        <w:tab/>
        <w:t>-Ingresos anuales:</w:t>
      </w:r>
      <w:r>
        <w:tab/>
      </w:r>
      <w:r>
        <w:tab/>
      </w:r>
      <w:r>
        <w:tab/>
      </w:r>
      <w:r w:rsidR="00BF2DBA" w:rsidRPr="005C67B4">
        <w:t>$  5.500.</w:t>
      </w:r>
    </w:p>
    <w:p w:rsidR="00BF2DBA" w:rsidRPr="005C67B4" w:rsidRDefault="00BF2DBA" w:rsidP="00BF2DBA">
      <w:r w:rsidRPr="005C67B4">
        <w:tab/>
        <w:t>-Valor de venta dentro de cuatro años:  $  7.000.</w:t>
      </w:r>
    </w:p>
    <w:p w:rsidR="00BF2DBA" w:rsidRPr="005C67B4" w:rsidRDefault="00BF2DBA" w:rsidP="00BF2DBA">
      <w:r w:rsidRPr="005C67B4">
        <w:t xml:space="preserve"> </w:t>
      </w:r>
    </w:p>
    <w:p w:rsidR="00BF2DBA" w:rsidRPr="005C67B4" w:rsidRDefault="00BF2DBA" w:rsidP="00BF2DBA">
      <w:pPr>
        <w:rPr>
          <w:b/>
          <w:bCs/>
        </w:rPr>
      </w:pPr>
      <w:r w:rsidRPr="005C67B4">
        <w:tab/>
      </w:r>
      <w:r w:rsidRPr="005C67B4">
        <w:rPr>
          <w:b/>
          <w:bCs/>
        </w:rPr>
        <w:t>Equipo nuevo:</w:t>
      </w:r>
    </w:p>
    <w:p w:rsidR="00BF2DBA" w:rsidRPr="005C67B4" w:rsidRDefault="00BF2DBA" w:rsidP="00BF2DBA">
      <w:r w:rsidRPr="005C67B4">
        <w:tab/>
        <w:t xml:space="preserve">-Valor de compra (inversión) </w:t>
      </w:r>
      <w:r w:rsidRPr="005C67B4">
        <w:tab/>
        <w:t xml:space="preserve">     $16.000</w:t>
      </w:r>
    </w:p>
    <w:p w:rsidR="00BF2DBA" w:rsidRPr="005C67B4" w:rsidRDefault="00BF2DBA" w:rsidP="00BF2DBA">
      <w:r w:rsidRPr="005C67B4">
        <w:tab/>
        <w:t>-Costo operación anual:                          $     200</w:t>
      </w:r>
    </w:p>
    <w:p w:rsidR="00BF2DBA" w:rsidRPr="005C67B4" w:rsidRDefault="00BF2DBA" w:rsidP="00BF2DBA">
      <w:r w:rsidRPr="005C67B4">
        <w:tab/>
        <w:t>-Ingresos anuales:</w:t>
      </w:r>
      <w:r w:rsidRPr="005C67B4">
        <w:tab/>
      </w:r>
      <w:r w:rsidRPr="005C67B4">
        <w:tab/>
      </w:r>
      <w:r w:rsidRPr="005C67B4">
        <w:tab/>
        <w:t xml:space="preserve">     $  8.500</w:t>
      </w:r>
    </w:p>
    <w:p w:rsidR="00BF2DBA" w:rsidRPr="005C67B4" w:rsidRDefault="00BF2DBA" w:rsidP="00BF2DBA">
      <w:r w:rsidRPr="005C67B4">
        <w:tab/>
        <w:t>-Valor de venta dentro de cuatro años</w:t>
      </w:r>
      <w:proofErr w:type="gramStart"/>
      <w:r w:rsidRPr="005C67B4">
        <w:t>:  $</w:t>
      </w:r>
      <w:proofErr w:type="gramEnd"/>
      <w:r w:rsidRPr="005C67B4">
        <w:t xml:space="preserve">   9.000</w:t>
      </w:r>
    </w:p>
    <w:p w:rsidR="00BF2DBA" w:rsidRPr="005C67B4" w:rsidRDefault="00BF2DBA" w:rsidP="00BF2DBA"/>
    <w:p w:rsidR="003D043E" w:rsidRDefault="00BF2DBA" w:rsidP="00CF239E">
      <w:pPr>
        <w:ind w:left="709"/>
        <w:jc w:val="both"/>
      </w:pPr>
      <w:r w:rsidRPr="005C67B4">
        <w:t>Determine la conveniencia de efectuar el cambio mediante un flujo incremental si la tasa de impuesto a las utilidades es de 15%, y la tasa de descuento pertinente es de 10% anual.</w:t>
      </w:r>
    </w:p>
    <w:p w:rsidR="00CF239E" w:rsidRDefault="00CF239E" w:rsidP="00CF239E">
      <w:pPr>
        <w:ind w:left="709"/>
        <w:jc w:val="both"/>
      </w:pPr>
    </w:p>
    <w:p w:rsidR="007F4461" w:rsidRPr="007F4461" w:rsidRDefault="007F4461" w:rsidP="007F4461">
      <w:pPr>
        <w:jc w:val="both"/>
        <w:rPr>
          <w:b/>
        </w:rPr>
      </w:pPr>
      <w:r w:rsidRPr="007F4461">
        <w:rPr>
          <w:b/>
        </w:rPr>
        <w:t xml:space="preserve">ESTOS SON EJERCICIOS PARA IR SOLTANDO LA MANO. QUIEN LOS DESARROLLE </w:t>
      </w:r>
      <w:r>
        <w:rPr>
          <w:b/>
        </w:rPr>
        <w:t xml:space="preserve">Y ME LOS ENTREGUE EL JUEVES 19, </w:t>
      </w:r>
      <w:bookmarkStart w:id="0" w:name="_GoBack"/>
      <w:bookmarkEnd w:id="0"/>
      <w:r w:rsidRPr="007F4461">
        <w:rPr>
          <w:b/>
        </w:rPr>
        <w:t>TENDRÁ BONO EXTRA EN LA CALIFICACIÓ</w:t>
      </w:r>
      <w:r>
        <w:rPr>
          <w:b/>
        </w:rPr>
        <w:t>N GRUPAL.</w:t>
      </w:r>
    </w:p>
    <w:sectPr w:rsidR="007F4461" w:rsidRPr="007F4461" w:rsidSect="00FC1503">
      <w:headerReference w:type="default" r:id="rId7"/>
      <w:pgSz w:w="11900" w:h="16840"/>
      <w:pgMar w:top="1417" w:right="1701" w:bottom="1417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29A" w:rsidRDefault="00C4129A" w:rsidP="00CF239E">
      <w:r>
        <w:separator/>
      </w:r>
    </w:p>
  </w:endnote>
  <w:endnote w:type="continuationSeparator" w:id="0">
    <w:p w:rsidR="00C4129A" w:rsidRDefault="00C4129A" w:rsidP="00CF2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29A" w:rsidRDefault="00C4129A" w:rsidP="00CF239E">
      <w:r>
        <w:separator/>
      </w:r>
    </w:p>
  </w:footnote>
  <w:footnote w:type="continuationSeparator" w:id="0">
    <w:p w:rsidR="00C4129A" w:rsidRDefault="00C4129A" w:rsidP="00CF2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9E" w:rsidRDefault="00CF239E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.2pt;margin-top:-20.4pt;width:134.25pt;height:44.25pt;z-index:251660288" stroked="f">
          <v:textbox>
            <w:txbxContent>
              <w:p w:rsidR="00CF239E" w:rsidRPr="00543835" w:rsidRDefault="00CF239E" w:rsidP="00543835">
                <w:pPr>
                  <w:pStyle w:val="Encabezado"/>
                </w:pPr>
                <w:r w:rsidRPr="00CF239E">
                  <w:drawing>
                    <wp:inline distT="0" distB="0" distL="0" distR="0">
                      <wp:extent cx="1476375" cy="371475"/>
                      <wp:effectExtent l="19050" t="0" r="9525" b="0"/>
                      <wp:docPr id="1" name="Imagen 1" descr="Logo DII-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4037" name="Imagen 3" descr="Logo DII-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82738" cy="37307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  <w:lang w:val="es-CL" w:eastAsia="es-CL"/>
      </w:rPr>
      <w:pict>
        <v:shape id="_x0000_s1026" type="#_x0000_t202" style="position:absolute;margin-left:280.2pt;margin-top:-14.4pt;width:149.25pt;height:38.25pt;z-index:251661312" stroked="f">
          <v:textbox>
            <w:txbxContent>
              <w:p w:rsidR="00CF239E" w:rsidRDefault="00CF239E">
                <w:r w:rsidRPr="00CF239E">
                  <w:drawing>
                    <wp:inline distT="0" distB="0" distL="0" distR="0">
                      <wp:extent cx="1743073" cy="304800"/>
                      <wp:effectExtent l="19050" t="0" r="0" b="0"/>
                      <wp:docPr id="2" name="Imagen 2" descr="CSP-color+bajada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4038" name="49 Imagen" descr="CSP-color+bajad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40911" cy="30442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0094E"/>
    <w:multiLevelType w:val="hybridMultilevel"/>
    <w:tmpl w:val="6AF6DF9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4347F"/>
    <w:multiLevelType w:val="hybridMultilevel"/>
    <w:tmpl w:val="FC529D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70BED"/>
    <w:multiLevelType w:val="hybridMultilevel"/>
    <w:tmpl w:val="889C62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>
      <o:colormenu v:ext="edit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21493"/>
    <w:rsid w:val="003D043E"/>
    <w:rsid w:val="00570DF9"/>
    <w:rsid w:val="007F4461"/>
    <w:rsid w:val="00BF2DBA"/>
    <w:rsid w:val="00C4129A"/>
    <w:rsid w:val="00CF239E"/>
    <w:rsid w:val="00F21493"/>
    <w:rsid w:val="00FC150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o:colormenu v:ext="edit" strokecolor="none"/>
    </o:shapedefaults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DF9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14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F2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F239E"/>
  </w:style>
  <w:style w:type="paragraph" w:styleId="Piedepgina">
    <w:name w:val="footer"/>
    <w:basedOn w:val="Normal"/>
    <w:link w:val="PiedepginaCar"/>
    <w:uiPriority w:val="99"/>
    <w:semiHidden/>
    <w:unhideWhenUsed/>
    <w:rsid w:val="00CF2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F239E"/>
  </w:style>
  <w:style w:type="paragraph" w:styleId="Textodeglobo">
    <w:name w:val="Balloon Text"/>
    <w:basedOn w:val="Normal"/>
    <w:link w:val="TextodegloboCar"/>
    <w:uiPriority w:val="99"/>
    <w:semiHidden/>
    <w:unhideWhenUsed/>
    <w:rsid w:val="00CF23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1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704</Words>
  <Characters>3873</Characters>
  <Application>Microsoft Office Word</Application>
  <DocSecurity>0</DocSecurity>
  <Lines>32</Lines>
  <Paragraphs>9</Paragraphs>
  <ScaleCrop>false</ScaleCrop>
  <Company/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Cartes</dc:creator>
  <cp:lastModifiedBy>paula</cp:lastModifiedBy>
  <cp:revision>2</cp:revision>
  <dcterms:created xsi:type="dcterms:W3CDTF">2012-01-13T22:24:00Z</dcterms:created>
  <dcterms:modified xsi:type="dcterms:W3CDTF">2012-01-13T22:24:00Z</dcterms:modified>
</cp:coreProperties>
</file>