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96" w:type="dxa"/>
        <w:tblLayout w:type="fixed"/>
        <w:tblCellMar>
          <w:left w:w="0" w:type="dxa"/>
          <w:right w:w="0" w:type="dxa"/>
        </w:tblCellMar>
        <w:tblLook w:val="0000"/>
      </w:tblPr>
      <w:tblGrid>
        <w:gridCol w:w="9696"/>
      </w:tblGrid>
      <w:tr w:rsidR="0023090E" w:rsidRPr="00812202">
        <w:tblPrEx>
          <w:tblCellMar>
            <w:top w:w="0" w:type="dxa"/>
            <w:bottom w:w="0" w:type="dxa"/>
          </w:tblCellMar>
        </w:tblPrEx>
        <w:trPr>
          <w:trHeight w:hRule="exact" w:val="3402"/>
        </w:trPr>
        <w:tc>
          <w:tcPr>
            <w:tcW w:w="9696" w:type="dxa"/>
          </w:tcPr>
          <w:p w:rsidR="0023090E" w:rsidRDefault="00812202" w:rsidP="0023090E">
            <w:pPr>
              <w:pStyle w:val="Ttulo"/>
            </w:pPr>
            <w:r w:rsidRPr="00812202">
              <w:t>Comparison of aging effects on cyclic shear strength of undisturbed and remolded tailing sands</w:t>
            </w:r>
          </w:p>
          <w:p w:rsidR="0023090E" w:rsidRDefault="00451303" w:rsidP="00451303">
            <w:pPr>
              <w:pStyle w:val="Titre"/>
              <w:pageBreakBefore/>
              <w:spacing w:before="240" w:after="60" w:line="240" w:lineRule="exact"/>
              <w:rPr>
                <w:lang w:val="es-CL"/>
              </w:rPr>
            </w:pPr>
            <w:r w:rsidRPr="00451303">
              <w:rPr>
                <w:lang w:val="es-CL"/>
              </w:rPr>
              <w:t xml:space="preserve">Comparaison de l'effet dans la résistence de la coupure cyclique dans les arènes moulagées à nouveau et </w:t>
            </w:r>
            <w:r>
              <w:rPr>
                <w:lang w:val="es-CL"/>
              </w:rPr>
              <w:t>desalteres</w:t>
            </w:r>
          </w:p>
          <w:p w:rsidR="00451303" w:rsidRPr="00451303" w:rsidRDefault="00451303" w:rsidP="00451303">
            <w:pPr>
              <w:pStyle w:val="Titre"/>
              <w:pageBreakBefore/>
              <w:spacing w:before="240" w:after="60" w:line="240" w:lineRule="exact"/>
              <w:rPr>
                <w:lang w:val="es-CL"/>
              </w:rPr>
            </w:pPr>
          </w:p>
          <w:p w:rsidR="0023090E" w:rsidRPr="00D72386" w:rsidRDefault="00812202" w:rsidP="0023090E">
            <w:pPr>
              <w:pStyle w:val="Author"/>
            </w:pPr>
            <w:r>
              <w:t>R. Moffat</w:t>
            </w:r>
          </w:p>
          <w:p w:rsidR="0023090E" w:rsidRDefault="00812202" w:rsidP="0023090E">
            <w:pPr>
              <w:pStyle w:val="Affiliation"/>
            </w:pPr>
            <w:smartTag w:uri="urn:schemas-microsoft-com:office:smarttags" w:element="place">
              <w:smartTag w:uri="urn:schemas-microsoft-com:office:smarttags" w:element="PlaceType">
                <w:r>
                  <w:t>University</w:t>
                </w:r>
              </w:smartTag>
              <w:r>
                <w:t xml:space="preserve"> of </w:t>
              </w:r>
              <w:smartTag w:uri="urn:schemas-microsoft-com:office:smarttags" w:element="PlaceName">
                <w:r>
                  <w:t>Chile</w:t>
                </w:r>
              </w:smartTag>
            </w:smartTag>
            <w:r>
              <w:t xml:space="preserve">, </w:t>
            </w:r>
            <w:smartTag w:uri="urn:schemas-microsoft-com:office:smarttags" w:element="place">
              <w:smartTag w:uri="urn:schemas-microsoft-com:office:smarttags" w:element="City">
                <w:r>
                  <w:t>Santiago</w:t>
                </w:r>
              </w:smartTag>
              <w:r>
                <w:t xml:space="preserve">, </w:t>
              </w:r>
              <w:smartTag w:uri="urn:schemas-microsoft-com:office:smarttags" w:element="country-region">
                <w:r>
                  <w:t>Chile</w:t>
                </w:r>
              </w:smartTag>
            </w:smartTag>
          </w:p>
          <w:p w:rsidR="0023090E" w:rsidRPr="00812202" w:rsidRDefault="00812202" w:rsidP="0023090E">
            <w:pPr>
              <w:pStyle w:val="Author"/>
              <w:tabs>
                <w:tab w:val="left" w:pos="2205"/>
              </w:tabs>
              <w:rPr>
                <w:lang w:val="es-CL"/>
              </w:rPr>
            </w:pPr>
            <w:r w:rsidRPr="00812202">
              <w:rPr>
                <w:lang w:val="es-CL"/>
              </w:rPr>
              <w:t>M. Ormazabal</w:t>
            </w:r>
          </w:p>
          <w:p w:rsidR="0023090E" w:rsidRPr="00812202" w:rsidRDefault="00812202" w:rsidP="0023090E">
            <w:pPr>
              <w:pStyle w:val="Affiliation"/>
              <w:rPr>
                <w:lang w:val="es-CL"/>
              </w:rPr>
            </w:pPr>
            <w:r w:rsidRPr="00812202">
              <w:rPr>
                <w:lang w:val="es-CL"/>
              </w:rPr>
              <w:t>Con-Pax S.A, Santiago, Chile</w:t>
            </w:r>
          </w:p>
        </w:tc>
      </w:tr>
      <w:tr w:rsidR="0023090E" w:rsidRPr="0023090E">
        <w:tblPrEx>
          <w:tblCellMar>
            <w:top w:w="0" w:type="dxa"/>
            <w:bottom w:w="0" w:type="dxa"/>
          </w:tblCellMar>
        </w:tblPrEx>
        <w:tc>
          <w:tcPr>
            <w:tcW w:w="9696" w:type="dxa"/>
          </w:tcPr>
          <w:p w:rsidR="0023090E" w:rsidRPr="00C27DA1" w:rsidRDefault="0023090E" w:rsidP="0023090E">
            <w:pPr>
              <w:pStyle w:val="abstractresumeheading"/>
            </w:pPr>
            <w:r w:rsidRPr="00C27DA1">
              <w:t>ABSTRACT</w:t>
            </w:r>
          </w:p>
          <w:p w:rsidR="0023090E" w:rsidRPr="00812202" w:rsidRDefault="00812202" w:rsidP="0023090E">
            <w:pPr>
              <w:pStyle w:val="AbstractResumetext"/>
              <w:rPr>
                <w:lang w:val="fr-FR"/>
              </w:rPr>
            </w:pPr>
            <w:r w:rsidRPr="00C27DA1">
              <w:t xml:space="preserve">Increase in cyclic strength due to aging of sands is reflected in the higher number of cycles necessary to reach liquefaction. Results are reported from cyclic triaxial tests on reconstituted and </w:t>
            </w:r>
            <w:r w:rsidR="00B16225" w:rsidRPr="00C27DA1">
              <w:t>undisturbed</w:t>
            </w:r>
            <w:r w:rsidRPr="00C27DA1">
              <w:t xml:space="preserve"> block samples from the Ovejeria tailing dam. Observations on the change on the cyclic stress ratio caused by aging effects during a period of time between 0 to 5 months enable </w:t>
            </w:r>
            <w:r w:rsidR="00B16225" w:rsidRPr="00C27DA1">
              <w:t xml:space="preserve">the </w:t>
            </w:r>
            <w:r w:rsidRPr="00C27DA1">
              <w:t xml:space="preserve">characterization and comparison on the cyclic behavior on remolded specimens and in situ samples. The new laboratory data is compared with selected data reported in the literature confirming the relevance of aging effect and </w:t>
            </w:r>
            <w:r w:rsidR="00B16225" w:rsidRPr="00C27DA1">
              <w:t xml:space="preserve">a </w:t>
            </w:r>
            <w:r w:rsidRPr="00C27DA1">
              <w:t xml:space="preserve">qualitative difference between reconstituted and undisturbed samples. Preliminary observations indicate that cyclic strength </w:t>
            </w:r>
            <w:r w:rsidR="00B16225" w:rsidRPr="00C27DA1">
              <w:t xml:space="preserve">of </w:t>
            </w:r>
            <w:r w:rsidR="00C27DA1" w:rsidRPr="00C27DA1">
              <w:t>undisturbed</w:t>
            </w:r>
            <w:r w:rsidR="00B16225" w:rsidRPr="00C27DA1">
              <w:t xml:space="preserve"> samples obtained directly from the tailing dam can</w:t>
            </w:r>
            <w:r w:rsidRPr="00C27DA1">
              <w:t xml:space="preserve">not </w:t>
            </w:r>
            <w:r w:rsidR="00B16225" w:rsidRPr="00C27DA1">
              <w:t xml:space="preserve">be </w:t>
            </w:r>
            <w:r w:rsidRPr="00C27DA1">
              <w:t xml:space="preserve">compare </w:t>
            </w:r>
            <w:r w:rsidR="00B16225" w:rsidRPr="00C27DA1">
              <w:t xml:space="preserve">directly </w:t>
            </w:r>
            <w:r w:rsidRPr="00C27DA1">
              <w:t xml:space="preserve">with </w:t>
            </w:r>
            <w:r w:rsidR="00B16225" w:rsidRPr="00C27DA1">
              <w:t xml:space="preserve">the </w:t>
            </w:r>
            <w:r w:rsidR="00C27DA1" w:rsidRPr="00C27DA1">
              <w:t>strength</w:t>
            </w:r>
            <w:r w:rsidR="00B16225" w:rsidRPr="00C27DA1">
              <w:t xml:space="preserve"> of reconstituted specimens by moist tamping</w:t>
            </w:r>
            <w:r w:rsidR="004008F7">
              <w:t xml:space="preserve"> with the same age</w:t>
            </w:r>
            <w:r w:rsidRPr="00812202">
              <w:rPr>
                <w:lang w:val="fr-FR"/>
              </w:rPr>
              <w:t>.</w:t>
            </w:r>
          </w:p>
          <w:p w:rsidR="0023090E" w:rsidRPr="0023090E" w:rsidRDefault="0023090E" w:rsidP="0023090E">
            <w:pPr>
              <w:pStyle w:val="abstractresumeheading"/>
              <w:rPr>
                <w:lang w:val="fr-FR"/>
              </w:rPr>
            </w:pPr>
            <w:r w:rsidRPr="0023090E">
              <w:rPr>
                <w:lang w:val="fr-FR"/>
              </w:rPr>
              <w:t>RÉSUMÉ</w:t>
            </w:r>
          </w:p>
          <w:p w:rsidR="0023090E" w:rsidRPr="00176EE0" w:rsidRDefault="00176EE0" w:rsidP="0023090E">
            <w:pPr>
              <w:pStyle w:val="AbstractResumetext"/>
              <w:rPr>
                <w:lang w:val="fr-FR"/>
              </w:rPr>
            </w:pPr>
            <w:r w:rsidRPr="00176EE0">
              <w:rPr>
                <w:lang w:val="fr-FR"/>
              </w:rPr>
              <w:t>L’accroissement de la resistente cyclique du au vieillisement dans des arènes se reflète dans une quantité majeur des cycles necessaire pour atteindre liqu´efaction. On montre des resultats des essayés triaxales dans des éprouvettes reconstitués et faire preuve des bloques desalteres du relave Ovejeria. Des observations dans le changement en raso ndu effort cyclique a cause du vieillessement dans un période de 0 à 5 mois permet la les renseignement techniqueet la comparación du comportement cyclique dans des éprouvettes remoulagées et de echantillons obtenles en situ. Les nouveaux donnés exparimentaux sont comparés avec des donnés obtenus de la litterature qui confirment  le remarcable effet  du vieillessement et la difference qualitative entre les echantillons reconstitués et désalterés . Des observations preliminaires indiquent que la resistence des echantillons desalterés obtenues de la resistente des éprouvettes ne peut pas être comparée directement avec la resistente des eprouvettes  reconstituyes par le pissonement avec la même période de vieillessement.</w:t>
            </w:r>
          </w:p>
        </w:tc>
      </w:tr>
      <w:tr w:rsidR="00CD73B4" w:rsidRPr="0023090E">
        <w:tblPrEx>
          <w:tblCellMar>
            <w:top w:w="0" w:type="dxa"/>
            <w:bottom w:w="0" w:type="dxa"/>
          </w:tblCellMar>
        </w:tblPrEx>
        <w:tc>
          <w:tcPr>
            <w:tcW w:w="9696" w:type="dxa"/>
          </w:tcPr>
          <w:p w:rsidR="00CD73B4" w:rsidRDefault="00CD73B4" w:rsidP="00CD73B4">
            <w:pPr>
              <w:pStyle w:val="abstractresumeheading"/>
              <w:jc w:val="left"/>
              <w:rPr>
                <w:lang w:val="fr-FR"/>
              </w:rPr>
            </w:pPr>
            <w:r>
              <w:rPr>
                <w:lang w:val="fr-FR"/>
              </w:rPr>
              <w:t>Keywords :</w:t>
            </w:r>
            <w:r w:rsidR="00705458">
              <w:rPr>
                <w:lang w:val="fr-FR"/>
              </w:rPr>
              <w:t xml:space="preserve"> aging, sand, liquefaction, tailing.</w:t>
            </w:r>
          </w:p>
          <w:p w:rsidR="00062272" w:rsidRPr="0023090E" w:rsidRDefault="00062272" w:rsidP="00062272">
            <w:pPr>
              <w:pStyle w:val="abstractresumeheading"/>
              <w:spacing w:before="0"/>
              <w:jc w:val="left"/>
              <w:rPr>
                <w:lang w:val="fr-FR"/>
              </w:rPr>
            </w:pPr>
          </w:p>
        </w:tc>
      </w:tr>
    </w:tbl>
    <w:p w:rsidR="0023090E" w:rsidRPr="0023090E" w:rsidRDefault="0023090E" w:rsidP="0023090E">
      <w:pPr>
        <w:rPr>
          <w:lang w:val="fr-FR"/>
        </w:rPr>
      </w:pPr>
    </w:p>
    <w:p w:rsidR="00D63C89" w:rsidRPr="0023090E" w:rsidRDefault="00D63C89">
      <w:pPr>
        <w:rPr>
          <w:lang w:val="fr-FR"/>
        </w:rPr>
        <w:sectPr w:rsidR="00D63C89" w:rsidRPr="0023090E" w:rsidSect="00812202">
          <w:type w:val="continuous"/>
          <w:pgSz w:w="11907" w:h="16840" w:code="9"/>
          <w:pgMar w:top="907" w:right="1106" w:bottom="1644" w:left="1106" w:header="0" w:footer="0" w:gutter="0"/>
          <w:cols w:space="720"/>
          <w:formProt w:val="0"/>
          <w:noEndnote/>
        </w:sectPr>
      </w:pPr>
    </w:p>
    <w:p w:rsidR="00D63C89" w:rsidRPr="00155BBE" w:rsidRDefault="00812202" w:rsidP="003D7F9E">
      <w:pPr>
        <w:pStyle w:val="Ttulo1"/>
        <w:spacing w:before="0"/>
      </w:pPr>
      <w:r w:rsidRPr="00155BBE">
        <w:lastRenderedPageBreak/>
        <w:t>INTRODUCTION</w:t>
      </w:r>
    </w:p>
    <w:p w:rsidR="00464FC5" w:rsidRPr="00155BBE" w:rsidRDefault="00812202" w:rsidP="00464FC5">
      <w:pPr>
        <w:pStyle w:val="Firstparagraph"/>
      </w:pPr>
      <w:r w:rsidRPr="00155BBE">
        <w:t>The term “aging” has been used in soil mechanics to describe the change on properties of soils due exclusively to time and generally caused by chemical or mechanical mechanisms. Aging has become evident based in measurement of change of stiffness, liquefaction resistance, shear strength</w:t>
      </w:r>
      <w:r w:rsidR="00155BBE" w:rsidRPr="00155BBE">
        <w:t>,</w:t>
      </w:r>
      <w:r w:rsidRPr="00155BBE">
        <w:t xml:space="preserve"> and penetration resistance of sands. Even though the cause of aging has not been completely proved there is a considerably body of experience that </w:t>
      </w:r>
      <w:r w:rsidR="00B16225" w:rsidRPr="00155BBE">
        <w:t>exists</w:t>
      </w:r>
      <w:r w:rsidRPr="00155BBE">
        <w:t xml:space="preserve"> an increase of resistance of sands due to aging on undisturbed samples. Skempton (1986) mentioned work from different authors where the stress ratio to cause a double amplitude strain of 5% at ten cycles is found to be up to 60% greater in undisturbed samples compared to a freshly reconstituted specimen at the same density. Similarly, Seed (1979) reported 25% increase in resistance to the development of initial liquefaction in reconstituted specimens tested after 100 days. However </w:t>
      </w:r>
      <w:r w:rsidR="00B16225" w:rsidRPr="00155BBE">
        <w:t xml:space="preserve">the measured increase of strength are associated to different sand, density and sampling techniques, so is </w:t>
      </w:r>
      <w:r w:rsidRPr="00155BBE">
        <w:t xml:space="preserve">not clear whether the aging effect is more important in undisturbed samples or laboratory reconstituted specimens. If there is a difference on the rate of aging on reconstituted specimens compared to field samples, this difference would have to be considered in case of accounting soil aging when assessing liquefaction potential. In Figure 1 Seed (1979) showed a  strength gain factor for laboratory test data from laboratory specimens for periods ranging from 0.1 day to 100 days prior to testing and much older samples taken from the field. This figure exhibits a smooth transition between reconstituted specimens and undisturbed samples from the </w:t>
      </w:r>
      <w:r w:rsidR="00155BBE" w:rsidRPr="00155BBE">
        <w:t>field;</w:t>
      </w:r>
      <w:r w:rsidR="00B16225" w:rsidRPr="00155BBE">
        <w:t xml:space="preserve"> hence it could be </w:t>
      </w:r>
      <w:r w:rsidR="00B16225" w:rsidRPr="00155BBE">
        <w:lastRenderedPageBreak/>
        <w:t xml:space="preserve">assumed </w:t>
      </w:r>
      <w:r w:rsidRPr="00155BBE">
        <w:t xml:space="preserve">that the rate of aging development </w:t>
      </w:r>
      <w:r w:rsidR="00B16225" w:rsidRPr="00155BBE">
        <w:t xml:space="preserve">is similar </w:t>
      </w:r>
      <w:r w:rsidRPr="00155BBE">
        <w:t>in both types of samples</w:t>
      </w:r>
      <w:r w:rsidR="00D63C89" w:rsidRPr="00155BBE">
        <w:t>.</w:t>
      </w:r>
    </w:p>
    <w:p w:rsidR="00812202" w:rsidRPr="00155BBE" w:rsidRDefault="00812202" w:rsidP="007042A5">
      <w:pPr>
        <w:pStyle w:val="Firstparagraph"/>
      </w:pPr>
    </w:p>
    <w:p w:rsidR="007042A5" w:rsidRPr="00155BBE" w:rsidRDefault="00B16225" w:rsidP="007042A5">
      <w:pPr>
        <w:pStyle w:val="Firstparagraph"/>
      </w:pPr>
      <w:r w:rsidRPr="00155BBE">
        <w:t xml:space="preserve">Additionally there </w:t>
      </w:r>
      <w:r w:rsidR="007042A5" w:rsidRPr="00155BBE">
        <w:t xml:space="preserve">are many examples in the literature of the effect of aging on the strength of </w:t>
      </w:r>
      <w:r w:rsidRPr="00155BBE">
        <w:t xml:space="preserve">undisturbed </w:t>
      </w:r>
      <w:r w:rsidR="007042A5" w:rsidRPr="00155BBE">
        <w:t>sands by means of in situ tests such as SPT and CPT. Mitchell (1986) shows these in situ tests may show a decrease in strength immediately after soil improvement or remolding on the field as it is shown in Figure 2 fo</w:t>
      </w:r>
      <w:r w:rsidRPr="00155BBE">
        <w:t>r a CPT test after vibration th</w:t>
      </w:r>
      <w:r w:rsidR="007042A5" w:rsidRPr="00155BBE">
        <w:t>rough blasting. Water level measurement imply that this phenomenon cannot by explained by an excess of pore water pressure as these pressure were ful</w:t>
      </w:r>
      <w:r w:rsidRPr="00155BBE">
        <w:t>ly dissipated after a few hours so the lost of aging effect is the most accepted theory that explains this effect.</w:t>
      </w:r>
    </w:p>
    <w:p w:rsidR="00812202" w:rsidRPr="00155BBE" w:rsidRDefault="00F16C60" w:rsidP="007042A5">
      <w:pPr>
        <w:pStyle w:val="FigurePhoto"/>
      </w:pPr>
      <w:r>
        <w:rPr>
          <w:noProof/>
          <w:lang w:val="es-MX" w:eastAsia="es-MX"/>
        </w:rPr>
        <w:drawing>
          <wp:inline distT="0" distB="0" distL="0" distR="0">
            <wp:extent cx="3118485" cy="2204085"/>
            <wp:effectExtent l="1905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3118485" cy="2204085"/>
                    </a:xfrm>
                    <a:prstGeom prst="rect">
                      <a:avLst/>
                    </a:prstGeom>
                    <a:noFill/>
                    <a:ln w="9525">
                      <a:noFill/>
                      <a:miter lim="800000"/>
                      <a:headEnd/>
                      <a:tailEnd/>
                    </a:ln>
                  </pic:spPr>
                </pic:pic>
              </a:graphicData>
            </a:graphic>
          </wp:inline>
        </w:drawing>
      </w:r>
    </w:p>
    <w:p w:rsidR="00812202" w:rsidRPr="00155BBE" w:rsidRDefault="00812202" w:rsidP="00812202">
      <w:pPr>
        <w:pStyle w:val="Figurecaption"/>
      </w:pPr>
      <w:r w:rsidRPr="00155BBE">
        <w:t>Figure 1. Strength gain due to aging (after Seed, 1979)</w:t>
      </w:r>
    </w:p>
    <w:p w:rsidR="007042A5" w:rsidRPr="00155BBE" w:rsidRDefault="007042A5" w:rsidP="007042A5"/>
    <w:p w:rsidR="00F9683A" w:rsidRPr="00155BBE" w:rsidRDefault="00F9683A" w:rsidP="00F9683A">
      <w:pPr>
        <w:pStyle w:val="Firstparagraph"/>
      </w:pPr>
      <w:r w:rsidRPr="00155BBE">
        <w:t xml:space="preserve">Aging effects on undisturbed samples on silty sands have been published in different papers. </w:t>
      </w:r>
      <w:r w:rsidR="00155BBE" w:rsidRPr="00155BBE">
        <w:t>For example</w:t>
      </w:r>
      <w:r w:rsidR="00155BBE">
        <w:t>,</w:t>
      </w:r>
      <w:r w:rsidR="00155BBE" w:rsidRPr="00155BBE">
        <w:t xml:space="preserve"> Troncoso et al. (1998) showed for tailing sand with 25% of fines that there is an increase up to 350% of cyclic stress ratio to cause 5% double amplitude strain in samples with 30 years of age (see Figure 3).</w:t>
      </w:r>
    </w:p>
    <w:p w:rsidR="00F9683A" w:rsidRPr="00155BBE" w:rsidRDefault="00F9683A" w:rsidP="007042A5"/>
    <w:p w:rsidR="007042A5" w:rsidRPr="00155BBE" w:rsidRDefault="00F16C60" w:rsidP="00CA7F68">
      <w:pPr>
        <w:pStyle w:val="FigurePhoto"/>
      </w:pPr>
      <w:r>
        <w:rPr>
          <w:noProof/>
          <w:lang w:val="es-MX" w:eastAsia="es-MX"/>
        </w:rPr>
        <w:drawing>
          <wp:inline distT="0" distB="0" distL="0" distR="0">
            <wp:extent cx="3002280" cy="2012950"/>
            <wp:effectExtent l="1905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3002280" cy="2012950"/>
                    </a:xfrm>
                    <a:prstGeom prst="rect">
                      <a:avLst/>
                    </a:prstGeom>
                    <a:noFill/>
                    <a:ln w="9525">
                      <a:noFill/>
                      <a:miter lim="800000"/>
                      <a:headEnd/>
                      <a:tailEnd/>
                    </a:ln>
                  </pic:spPr>
                </pic:pic>
              </a:graphicData>
            </a:graphic>
          </wp:inline>
        </w:drawing>
      </w:r>
    </w:p>
    <w:p w:rsidR="00CA7F68" w:rsidRPr="00155BBE" w:rsidRDefault="00CA7F68" w:rsidP="00CA7F68">
      <w:pPr>
        <w:pStyle w:val="Figurecaption"/>
      </w:pPr>
      <w:r w:rsidRPr="00155BBE">
        <w:t>Figure 2. . Results of CPT tests before and after soil improvement using blasting</w:t>
      </w:r>
      <w:r w:rsidR="00B16225" w:rsidRPr="00155BBE">
        <w:t xml:space="preserve"> (</w:t>
      </w:r>
      <w:r w:rsidR="00155BBE" w:rsidRPr="00155BBE">
        <w:t>after</w:t>
      </w:r>
      <w:r w:rsidR="00B16225" w:rsidRPr="00155BBE">
        <w:t xml:space="preserve"> Mitchell, 1986)</w:t>
      </w:r>
    </w:p>
    <w:p w:rsidR="00B16225" w:rsidRPr="00155BBE" w:rsidRDefault="00B16225" w:rsidP="00B16225"/>
    <w:p w:rsidR="00E067A0" w:rsidRPr="00155BBE" w:rsidRDefault="00E067A0" w:rsidP="00E067A0"/>
    <w:p w:rsidR="00E067A0" w:rsidRPr="00155BBE" w:rsidRDefault="00F16C60" w:rsidP="00E067A0">
      <w:pPr>
        <w:pStyle w:val="FigurePhoto"/>
      </w:pPr>
      <w:r>
        <w:rPr>
          <w:noProof/>
          <w:lang w:val="es-MX" w:eastAsia="es-MX"/>
        </w:rPr>
        <w:drawing>
          <wp:inline distT="0" distB="0" distL="0" distR="0">
            <wp:extent cx="2954655" cy="209486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2954655" cy="2094865"/>
                    </a:xfrm>
                    <a:prstGeom prst="rect">
                      <a:avLst/>
                    </a:prstGeom>
                    <a:noFill/>
                    <a:ln w="9525">
                      <a:noFill/>
                      <a:miter lim="800000"/>
                      <a:headEnd/>
                      <a:tailEnd/>
                    </a:ln>
                  </pic:spPr>
                </pic:pic>
              </a:graphicData>
            </a:graphic>
          </wp:inline>
        </w:drawing>
      </w:r>
    </w:p>
    <w:p w:rsidR="00E067A0" w:rsidRPr="00155BBE" w:rsidRDefault="00E067A0" w:rsidP="00565017">
      <w:pPr>
        <w:pStyle w:val="Figurecaption"/>
      </w:pPr>
      <w:r w:rsidRPr="00155BBE">
        <w:t>Figure 3. Test results on El Cobre tailings dams (Troncoso et al. 1988)</w:t>
      </w:r>
    </w:p>
    <w:p w:rsidR="00E067A0" w:rsidRPr="00155BBE" w:rsidRDefault="00E067A0" w:rsidP="00E067A0">
      <w:pPr>
        <w:pStyle w:val="FigurePhoto"/>
      </w:pPr>
    </w:p>
    <w:p w:rsidR="00E067A0" w:rsidRPr="00155BBE" w:rsidRDefault="00F71EA5" w:rsidP="00710F41">
      <w:pPr>
        <w:pStyle w:val="Firstparagraph"/>
      </w:pPr>
      <w:r w:rsidRPr="00155BBE">
        <w:t>Consequently i</w:t>
      </w:r>
      <w:r w:rsidR="00710F41" w:rsidRPr="00155BBE">
        <w:t xml:space="preserve">n some projects it could be necessary to wait months after soil improvement before an actual increase in strength is noticed. </w:t>
      </w:r>
      <w:r w:rsidRPr="00155BBE">
        <w:t>Additionally, i</w:t>
      </w:r>
      <w:r w:rsidR="00710F41" w:rsidRPr="00155BBE">
        <w:t xml:space="preserve">n some cases it is not possible to run in situ tests or tests on undisturbed samples as the foundation soil is cover completely by the structure or the cost of taking undisturbed samples are </w:t>
      </w:r>
      <w:r w:rsidR="00155BBE" w:rsidRPr="00155BBE">
        <w:t>too</w:t>
      </w:r>
      <w:r w:rsidR="00710F41" w:rsidRPr="00155BBE">
        <w:t xml:space="preserve"> high. In such cases laboratory tests on reconstituted sand specimens can be done to assess the effectiveness of the aging process on the gain on strength. In this paper we compare results from laboratory cyclic triaxial tests on undisturbed samples and reconstituted specimens </w:t>
      </w:r>
      <w:r w:rsidRPr="00155BBE">
        <w:t xml:space="preserve">from </w:t>
      </w:r>
      <w:r w:rsidR="00710F41" w:rsidRPr="00155BBE">
        <w:t xml:space="preserve">tailing silty sands obtained from the Ovejeria dam located on the center zone of Chile. The results from undisturbed and reconstituted samples are compared in order to </w:t>
      </w:r>
      <w:r w:rsidR="00155BBE" w:rsidRPr="00155BBE">
        <w:t>establish</w:t>
      </w:r>
      <w:r w:rsidR="00710F41" w:rsidRPr="00155BBE">
        <w:t xml:space="preserve"> if the rate of improvement of properties is similar in both cases</w:t>
      </w:r>
      <w:r w:rsidRPr="00155BBE">
        <w:t xml:space="preserve"> to allow a direct of reconstituted specimens</w:t>
      </w:r>
      <w:r w:rsidR="00710F41" w:rsidRPr="00155BBE">
        <w:t>.</w:t>
      </w:r>
    </w:p>
    <w:p w:rsidR="00710F41" w:rsidRPr="00155BBE" w:rsidRDefault="00710F41" w:rsidP="00710F41">
      <w:pPr>
        <w:pStyle w:val="Ttulo1"/>
      </w:pPr>
      <w:r w:rsidRPr="00155BBE">
        <w:t>Soil sampling and specimen reconstitution</w:t>
      </w:r>
    </w:p>
    <w:p w:rsidR="00710F41" w:rsidRPr="00155BBE" w:rsidRDefault="00710F41" w:rsidP="00710F41">
      <w:pPr>
        <w:pStyle w:val="Firstparagraph"/>
      </w:pPr>
    </w:p>
    <w:p w:rsidR="00710F41" w:rsidRPr="00155BBE" w:rsidRDefault="00710F41" w:rsidP="00710F41">
      <w:pPr>
        <w:pStyle w:val="Firstparagraph"/>
      </w:pPr>
      <w:r w:rsidRPr="00155BBE">
        <w:t xml:space="preserve">Two </w:t>
      </w:r>
      <w:r w:rsidR="00155BBE" w:rsidRPr="00155BBE">
        <w:t>kinds</w:t>
      </w:r>
      <w:r w:rsidRPr="00155BBE">
        <w:t xml:space="preserve"> of samples are tested in this work; undisturbed samples and reconstituted specimens of silty sands. Undisturbed samples are obtained directly from the Ovejería tailing dam by the confection of a open pit (see Figure 4.a) where blocks of silty sand with moderate cementation are carefully recovered (see Figure 4.b). From construction records of the dam it is </w:t>
      </w:r>
      <w:r w:rsidRPr="00155BBE">
        <w:lastRenderedPageBreak/>
        <w:t>inferred a relationship between deposition age and the depth where the sample is obtained.</w:t>
      </w:r>
    </w:p>
    <w:p w:rsidR="00710F41" w:rsidRPr="00155BBE" w:rsidRDefault="00710F41" w:rsidP="00710F41"/>
    <w:p w:rsidR="00710F41" w:rsidRPr="00155BBE" w:rsidRDefault="00F16C60" w:rsidP="00710F41">
      <w:pPr>
        <w:pStyle w:val="FigurePhoto"/>
      </w:pPr>
      <w:r>
        <w:rPr>
          <w:noProof/>
          <w:lang w:val="es-MX" w:eastAsia="es-MX"/>
        </w:rPr>
        <w:drawing>
          <wp:inline distT="0" distB="0" distL="0" distR="0">
            <wp:extent cx="2947670" cy="1746885"/>
            <wp:effectExtent l="19050" t="0" r="5080" b="0"/>
            <wp:docPr id="4" name="Imagen 4" descr="Figu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a4"/>
                    <pic:cNvPicPr>
                      <a:picLocks noChangeAspect="1" noChangeArrowheads="1"/>
                    </pic:cNvPicPr>
                  </pic:nvPicPr>
                  <pic:blipFill>
                    <a:blip r:embed="rId8" cstate="print"/>
                    <a:srcRect/>
                    <a:stretch>
                      <a:fillRect/>
                    </a:stretch>
                  </pic:blipFill>
                  <pic:spPr bwMode="auto">
                    <a:xfrm>
                      <a:off x="0" y="0"/>
                      <a:ext cx="2947670" cy="1746885"/>
                    </a:xfrm>
                    <a:prstGeom prst="rect">
                      <a:avLst/>
                    </a:prstGeom>
                    <a:noFill/>
                    <a:ln w="9525">
                      <a:noFill/>
                      <a:miter lim="800000"/>
                      <a:headEnd/>
                      <a:tailEnd/>
                    </a:ln>
                  </pic:spPr>
                </pic:pic>
              </a:graphicData>
            </a:graphic>
          </wp:inline>
        </w:drawing>
      </w:r>
    </w:p>
    <w:p w:rsidR="00565017" w:rsidRPr="00155BBE" w:rsidRDefault="00565017" w:rsidP="00565017">
      <w:pPr>
        <w:pStyle w:val="Figurecaption"/>
      </w:pPr>
      <w:r w:rsidRPr="00155BBE">
        <w:t xml:space="preserve">Figure 4. a) </w:t>
      </w:r>
      <w:r w:rsidR="00F71EA5" w:rsidRPr="00155BBE">
        <w:t xml:space="preserve">Open pit </w:t>
      </w:r>
      <w:r w:rsidR="000A31C2" w:rsidRPr="00155BBE">
        <w:t xml:space="preserve">for sampling; </w:t>
      </w:r>
      <w:r w:rsidRPr="00155BBE">
        <w:t>b) Undisturbed block samples</w:t>
      </w:r>
      <w:r w:rsidR="00F71E17" w:rsidRPr="00155BBE">
        <w:t>.</w:t>
      </w:r>
    </w:p>
    <w:p w:rsidR="00F71E17" w:rsidRPr="00155BBE" w:rsidRDefault="00F71E17" w:rsidP="00F71E17"/>
    <w:p w:rsidR="00F71E17" w:rsidRPr="00155BBE" w:rsidRDefault="00F71E17" w:rsidP="00F71E17">
      <w:pPr>
        <w:pStyle w:val="Firstparagraph"/>
      </w:pPr>
      <w:r w:rsidRPr="00155BBE">
        <w:t>Reconstituted specimens are prepared using soil extracted from the same depth on the pit as undisturbed samples, maintaining the fine content. Figure 5 shows an acrylic box and tools used to fabric soil specimens by moist tamping and aged to reach up to 6 month</w:t>
      </w:r>
      <w:r w:rsidR="00F71EA5" w:rsidRPr="00155BBE">
        <w:t>s</w:t>
      </w:r>
      <w:r w:rsidRPr="00155BBE">
        <w:t xml:space="preserve"> in a wet chamber under </w:t>
      </w:r>
      <w:r w:rsidR="00F71EA5" w:rsidRPr="00155BBE">
        <w:t xml:space="preserve">approximately </w:t>
      </w:r>
      <w:r w:rsidRPr="00155BBE">
        <w:t>20 degrees Celsius. Compaction energy is controlled to reach the desired relative density and uniformity along the length on the specimen. After the target deposition age is reached the specimen is cut in a cylindrical shape with 5 cm diameter and 10 cm height and tested on the cyclic triaxial test.</w:t>
      </w:r>
    </w:p>
    <w:p w:rsidR="00412D3B" w:rsidRPr="00155BBE" w:rsidRDefault="00412D3B" w:rsidP="00412D3B"/>
    <w:p w:rsidR="00412D3B" w:rsidRPr="00155BBE" w:rsidRDefault="00F16C60" w:rsidP="00412D3B">
      <w:pPr>
        <w:pStyle w:val="FigurePhoto"/>
      </w:pPr>
      <w:r>
        <w:rPr>
          <w:noProof/>
          <w:lang w:val="es-MX" w:eastAsia="es-MX"/>
        </w:rPr>
        <w:drawing>
          <wp:inline distT="0" distB="0" distL="0" distR="0">
            <wp:extent cx="2947670" cy="2218055"/>
            <wp:effectExtent l="19050" t="0" r="508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2947670" cy="2218055"/>
                    </a:xfrm>
                    <a:prstGeom prst="rect">
                      <a:avLst/>
                    </a:prstGeom>
                    <a:noFill/>
                    <a:ln w="9525">
                      <a:noFill/>
                      <a:miter lim="800000"/>
                      <a:headEnd/>
                      <a:tailEnd/>
                    </a:ln>
                  </pic:spPr>
                </pic:pic>
              </a:graphicData>
            </a:graphic>
          </wp:inline>
        </w:drawing>
      </w:r>
    </w:p>
    <w:p w:rsidR="00412D3B" w:rsidRPr="00155BBE" w:rsidRDefault="00412D3B" w:rsidP="00412D3B">
      <w:pPr>
        <w:pStyle w:val="Figurecaption"/>
      </w:pPr>
      <w:r w:rsidRPr="00155BBE">
        <w:t>Figure 5. Specimen reconstitution.</w:t>
      </w:r>
    </w:p>
    <w:p w:rsidR="00412D3B" w:rsidRPr="00155BBE" w:rsidRDefault="00412D3B" w:rsidP="00412D3B">
      <w:pPr>
        <w:pStyle w:val="Ttulo1"/>
      </w:pPr>
      <w:r w:rsidRPr="00155BBE">
        <w:t>Test procedure, soil sampling and specimen reconstitution</w:t>
      </w:r>
    </w:p>
    <w:p w:rsidR="00412D3B" w:rsidRPr="00155BBE" w:rsidRDefault="00412D3B" w:rsidP="00412D3B">
      <w:pPr>
        <w:pStyle w:val="Firstparagraph"/>
      </w:pPr>
    </w:p>
    <w:p w:rsidR="00412D3B" w:rsidRPr="00155BBE" w:rsidRDefault="00155BBE" w:rsidP="00BF1C72">
      <w:pPr>
        <w:pStyle w:val="Firstparagraph"/>
      </w:pPr>
      <w:r w:rsidRPr="00155BBE">
        <w:t>A</w:t>
      </w:r>
      <w:r w:rsidR="00BF1C72" w:rsidRPr="00155BBE">
        <w:t xml:space="preserve"> scheme of the cyclic triaxial apparatus used is shown in Figure 6. This apparatus consists in a loading frame where </w:t>
      </w:r>
      <w:r w:rsidRPr="00155BBE">
        <w:t>an</w:t>
      </w:r>
      <w:r w:rsidR="00BF1C72" w:rsidRPr="00155BBE">
        <w:t xml:space="preserve"> acrylic chamber is located inside so vertical load can be applied as required. Water under pressure is used to apply radial confining pressure to the sample. Soil samples were consolidated under confining pressure of 100 and 200 kN/m2, only tests consolidated at 100 kN/m2 are reported in this paper.</w:t>
      </w:r>
    </w:p>
    <w:p w:rsidR="00BF1C72" w:rsidRPr="00155BBE" w:rsidRDefault="00BF1C72" w:rsidP="00BF1C72"/>
    <w:p w:rsidR="00BF1C72" w:rsidRPr="00155BBE" w:rsidRDefault="00F16C60" w:rsidP="00BF1C72">
      <w:pPr>
        <w:pStyle w:val="FigurePhoto"/>
      </w:pPr>
      <w:r>
        <w:rPr>
          <w:noProof/>
          <w:lang w:val="es-MX" w:eastAsia="es-MX"/>
        </w:rPr>
        <w:lastRenderedPageBreak/>
        <w:drawing>
          <wp:inline distT="0" distB="0" distL="0" distR="0">
            <wp:extent cx="2947670" cy="1951355"/>
            <wp:effectExtent l="19050" t="0" r="508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2947670" cy="1951355"/>
                    </a:xfrm>
                    <a:prstGeom prst="rect">
                      <a:avLst/>
                    </a:prstGeom>
                    <a:noFill/>
                    <a:ln w="9525">
                      <a:noFill/>
                      <a:miter lim="800000"/>
                      <a:headEnd/>
                      <a:tailEnd/>
                    </a:ln>
                  </pic:spPr>
                </pic:pic>
              </a:graphicData>
            </a:graphic>
          </wp:inline>
        </w:drawing>
      </w:r>
    </w:p>
    <w:p w:rsidR="00BF1C72" w:rsidRPr="00155BBE" w:rsidRDefault="00BF1C72" w:rsidP="00BF1C72">
      <w:pPr>
        <w:pStyle w:val="Figurecaption"/>
      </w:pPr>
      <w:r w:rsidRPr="00155BBE">
        <w:t>Figure 6. Cyclic triaxial scheme</w:t>
      </w:r>
    </w:p>
    <w:p w:rsidR="00BF1C72" w:rsidRPr="00155BBE" w:rsidRDefault="00BF1C72" w:rsidP="00BF1C72"/>
    <w:p w:rsidR="00BF1C72" w:rsidRPr="00155BBE" w:rsidRDefault="00BF1C72" w:rsidP="00BF1C72">
      <w:pPr>
        <w:pStyle w:val="Firstparagraph"/>
      </w:pPr>
      <w:r w:rsidRPr="00155BBE">
        <w:t xml:space="preserve">The silty sand obtained from the undisturbed and reconstituted specimens are slightly different depending on the depth where the samples were obtained from the pit. Content of fines (&lt; 75 </w:t>
      </w:r>
      <w:r w:rsidRPr="00155BBE">
        <w:rPr>
          <w:rFonts w:ascii="Symbol" w:hAnsi="Symbol"/>
        </w:rPr>
        <w:t></w:t>
      </w:r>
      <w:r w:rsidRPr="00155BBE">
        <w:t>m) are in a narrow range from 15 to 18% and maximum particle size observed was 1 mm as it is shown on Figure 7.</w:t>
      </w:r>
    </w:p>
    <w:p w:rsidR="00BF1C72" w:rsidRPr="00155BBE" w:rsidRDefault="00F16C60" w:rsidP="00BF1C72">
      <w:pPr>
        <w:pStyle w:val="FigurePhoto"/>
      </w:pPr>
      <w:r>
        <w:rPr>
          <w:noProof/>
          <w:lang w:val="es-MX" w:eastAsia="es-MX"/>
        </w:rPr>
        <w:drawing>
          <wp:inline distT="0" distB="0" distL="0" distR="0">
            <wp:extent cx="2947670" cy="204025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947670" cy="2040255"/>
                    </a:xfrm>
                    <a:prstGeom prst="rect">
                      <a:avLst/>
                    </a:prstGeom>
                    <a:noFill/>
                    <a:ln w="9525">
                      <a:noFill/>
                      <a:miter lim="800000"/>
                      <a:headEnd/>
                      <a:tailEnd/>
                    </a:ln>
                  </pic:spPr>
                </pic:pic>
              </a:graphicData>
            </a:graphic>
          </wp:inline>
        </w:drawing>
      </w:r>
    </w:p>
    <w:p w:rsidR="00BF1C72" w:rsidRPr="00155BBE" w:rsidRDefault="00BF1C72" w:rsidP="00BF1C72">
      <w:pPr>
        <w:pStyle w:val="Figurecaption"/>
      </w:pPr>
      <w:r w:rsidRPr="00155BBE">
        <w:t>Figure  7. Grain size distribution of silty sands of different deposition age</w:t>
      </w:r>
    </w:p>
    <w:p w:rsidR="001C0B79" w:rsidRPr="00155BBE" w:rsidRDefault="001C0B79" w:rsidP="001C0B79">
      <w:pPr>
        <w:pStyle w:val="Ttulo1"/>
      </w:pPr>
      <w:r w:rsidRPr="00155BBE">
        <w:t>Test results and discussion</w:t>
      </w:r>
    </w:p>
    <w:p w:rsidR="001C0B79" w:rsidRPr="00155BBE" w:rsidRDefault="001C0B79" w:rsidP="001C0B79">
      <w:pPr>
        <w:pStyle w:val="Firstparagraph"/>
      </w:pPr>
    </w:p>
    <w:p w:rsidR="001C0B79" w:rsidRPr="00155BBE" w:rsidRDefault="001C0B79" w:rsidP="001C0B79">
      <w:pPr>
        <w:pStyle w:val="Firstparagraph"/>
      </w:pPr>
      <w:r w:rsidRPr="00155BBE">
        <w:t>A summary of cyclic triaxial tests on reconstituted silty sands specimen is shown on Figure 8. A total of 15 tests on reconstituted specimens with a fine content of 15% generate 3 curves shown in this figure. Relative density obtained in these reconstituted series of specimens were in a close range between RD = 67.8 to 69% in average.</w:t>
      </w:r>
      <w:r w:rsidR="00F71EA5" w:rsidRPr="00155BBE">
        <w:t xml:space="preserve"> Similarly, Figure 9 shows 10 tests on reconstituted specimens with fine content of 18% and average relative density of 68.5% for freshly reconstituted specimens and 67.4% for 5 months old reconstituted specimens.</w:t>
      </w:r>
    </w:p>
    <w:p w:rsidR="00F71EA5" w:rsidRPr="00155BBE" w:rsidRDefault="00F71EA5" w:rsidP="00F71EA5"/>
    <w:p w:rsidR="001C0B79" w:rsidRPr="00155BBE" w:rsidRDefault="001C0B79" w:rsidP="001C0B79">
      <w:pPr>
        <w:pStyle w:val="Firstparagraph"/>
      </w:pPr>
      <w:r w:rsidRPr="00155BBE">
        <w:t xml:space="preserve">Aging </w:t>
      </w:r>
      <w:r w:rsidR="00F71EA5" w:rsidRPr="00155BBE">
        <w:t xml:space="preserve">effect </w:t>
      </w:r>
      <w:r w:rsidRPr="00155BBE">
        <w:t xml:space="preserve">is clear on the increase of cyclic strength of these </w:t>
      </w:r>
      <w:r w:rsidR="00F71EA5" w:rsidRPr="00155BBE">
        <w:t xml:space="preserve">reconstituted </w:t>
      </w:r>
      <w:r w:rsidRPr="00155BBE">
        <w:t xml:space="preserve">soil specimens. </w:t>
      </w:r>
      <w:r w:rsidR="00155BBE" w:rsidRPr="00155BBE">
        <w:t>Either with reconstituted specimen with 15% and 18% of fines</w:t>
      </w:r>
      <w:r w:rsidR="00155BBE">
        <w:t>,</w:t>
      </w:r>
      <w:r w:rsidR="00155BBE" w:rsidRPr="00155BBE">
        <w:t xml:space="preserve"> an increase in the cyclic stress ratio to cause liquefaction is observed. </w:t>
      </w:r>
      <w:r w:rsidRPr="00155BBE">
        <w:t>Cyclic triaxial tests on specimens with 15% of fines an increase of approximately 10% is observed after 1 mo</w:t>
      </w:r>
      <w:r w:rsidR="00F71EA5" w:rsidRPr="00155BBE">
        <w:t>n</w:t>
      </w:r>
      <w:r w:rsidRPr="00155BBE">
        <w:t xml:space="preserve">th and 20% after 5 months (see Figure </w:t>
      </w:r>
      <w:r w:rsidR="00F71EA5" w:rsidRPr="00155BBE">
        <w:t>8</w:t>
      </w:r>
      <w:r w:rsidRPr="00155BBE">
        <w:t xml:space="preserve">). On the other hand, an increase in strength of approximately 12% was observed in remolded specimens 5 moths old with 18 % of fines as is shown in Figure </w:t>
      </w:r>
      <w:r w:rsidR="00F71EA5" w:rsidRPr="00155BBE">
        <w:t>9</w:t>
      </w:r>
      <w:r w:rsidRPr="00155BBE">
        <w:t>.</w:t>
      </w:r>
    </w:p>
    <w:p w:rsidR="001C0B79" w:rsidRPr="00155BBE" w:rsidRDefault="001C0B79" w:rsidP="001C0B79"/>
    <w:p w:rsidR="001C0B79" w:rsidRPr="00155BBE" w:rsidRDefault="00F16C60" w:rsidP="001C0B79">
      <w:pPr>
        <w:pStyle w:val="FigurePhoto"/>
      </w:pPr>
      <w:r>
        <w:rPr>
          <w:noProof/>
          <w:lang w:val="es-MX" w:eastAsia="es-MX"/>
        </w:rPr>
        <w:lastRenderedPageBreak/>
        <w:drawing>
          <wp:inline distT="0" distB="0" distL="0" distR="0">
            <wp:extent cx="2961640" cy="2122170"/>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2961640" cy="2122170"/>
                    </a:xfrm>
                    <a:prstGeom prst="rect">
                      <a:avLst/>
                    </a:prstGeom>
                    <a:noFill/>
                    <a:ln w="9525">
                      <a:noFill/>
                      <a:miter lim="800000"/>
                      <a:headEnd/>
                      <a:tailEnd/>
                    </a:ln>
                  </pic:spPr>
                </pic:pic>
              </a:graphicData>
            </a:graphic>
          </wp:inline>
        </w:drawing>
      </w:r>
    </w:p>
    <w:p w:rsidR="001C0B79" w:rsidRPr="00155BBE" w:rsidRDefault="001C0B79" w:rsidP="001C0B79">
      <w:pPr>
        <w:pStyle w:val="Figurecaption"/>
      </w:pPr>
      <w:r w:rsidRPr="00155BBE">
        <w:t xml:space="preserve">Figure 8; Cyclic stress ratio versus number of cycles for reconstituted specimens on the </w:t>
      </w:r>
      <w:r w:rsidR="00155BBE" w:rsidRPr="00155BBE">
        <w:t>Lab</w:t>
      </w:r>
      <w:r w:rsidRPr="00155BBE">
        <w:t xml:space="preserve">.;  Samples with 15% fine content </w:t>
      </w:r>
    </w:p>
    <w:p w:rsidR="001C0B79" w:rsidRPr="00155BBE" w:rsidRDefault="001C0B79" w:rsidP="001C0B79"/>
    <w:p w:rsidR="001C0B79" w:rsidRPr="00155BBE" w:rsidRDefault="00F16C60" w:rsidP="001C0B79">
      <w:pPr>
        <w:pStyle w:val="FigurePhoto"/>
      </w:pPr>
      <w:r>
        <w:rPr>
          <w:noProof/>
          <w:lang w:val="es-MX" w:eastAsia="es-MX"/>
        </w:rPr>
        <w:drawing>
          <wp:inline distT="0" distB="0" distL="0" distR="0">
            <wp:extent cx="2893060" cy="2176780"/>
            <wp:effectExtent l="1905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2893060" cy="2176780"/>
                    </a:xfrm>
                    <a:prstGeom prst="rect">
                      <a:avLst/>
                    </a:prstGeom>
                    <a:noFill/>
                    <a:ln w="9525">
                      <a:noFill/>
                      <a:miter lim="800000"/>
                      <a:headEnd/>
                      <a:tailEnd/>
                    </a:ln>
                  </pic:spPr>
                </pic:pic>
              </a:graphicData>
            </a:graphic>
          </wp:inline>
        </w:drawing>
      </w:r>
    </w:p>
    <w:p w:rsidR="001C0B79" w:rsidRPr="00155BBE" w:rsidRDefault="001C0B79" w:rsidP="001C0B79">
      <w:pPr>
        <w:pStyle w:val="Figurecaption"/>
      </w:pPr>
      <w:r w:rsidRPr="00155BBE">
        <w:t xml:space="preserve">Figure </w:t>
      </w:r>
      <w:r w:rsidR="00F71EA5" w:rsidRPr="00155BBE">
        <w:t>9</w:t>
      </w:r>
      <w:r w:rsidRPr="00155BBE">
        <w:t xml:space="preserve">; Cyclic stress ratio versus number of cycles for reconstituted specimens on the </w:t>
      </w:r>
      <w:r w:rsidR="00155BBE" w:rsidRPr="00155BBE">
        <w:t>Lab</w:t>
      </w:r>
      <w:r w:rsidRPr="00155BBE">
        <w:t>.; Samples with 18% fine content</w:t>
      </w:r>
    </w:p>
    <w:p w:rsidR="001C0B79" w:rsidRPr="00155BBE" w:rsidRDefault="001C0B79" w:rsidP="001C0B79"/>
    <w:p w:rsidR="001C0B79" w:rsidRPr="00155BBE" w:rsidRDefault="001C0B79" w:rsidP="001C0B79">
      <w:pPr>
        <w:pStyle w:val="Firstparagraph"/>
      </w:pPr>
      <w:r w:rsidRPr="00155BBE">
        <w:t xml:space="preserve">Data published by Seed (1979) </w:t>
      </w:r>
      <w:r w:rsidR="00F71EA5" w:rsidRPr="00155BBE">
        <w:t xml:space="preserve">(see Figure 1) </w:t>
      </w:r>
      <w:r w:rsidRPr="00155BBE">
        <w:t xml:space="preserve">showed that the increase in the stress ratio on samples with 1 month of age was close to 15% and ranged from 25 to 32% after 5 months of aging (dashed zone on curve). The new test data </w:t>
      </w:r>
      <w:r w:rsidR="00F71EA5" w:rsidRPr="00155BBE">
        <w:t>presented in this paper show</w:t>
      </w:r>
      <w:r w:rsidRPr="00155BBE">
        <w:t xml:space="preserve"> an increase of stress ratio lower than the one observed in Figure 1 and also depending on the fine content of the soil tested. It is known that specimen reconstitution is an important factor to consider as it could be the reason on these lower values of increase in cyclic stress ratio to liquefaction. Therefore for design it is important to consider that the rate of increase in cyclic strength could be different even for a small change in fine content as it could happen in construction of a tailing dam. Even though soil specimens with 18% of fines showed higher strength up to 5 months of age</w:t>
      </w:r>
      <w:r w:rsidR="00F71EA5" w:rsidRPr="00155BBE">
        <w:t>,</w:t>
      </w:r>
      <w:r w:rsidRPr="00155BBE">
        <w:t xml:space="preserve"> the rate of increasing strength is higher for the same kind of soil with 15% of fines under the same sample reconstitution technique and environment where they were aged.</w:t>
      </w:r>
    </w:p>
    <w:p w:rsidR="001C0B79" w:rsidRPr="00155BBE" w:rsidRDefault="001C0B79" w:rsidP="001C0B79">
      <w:pPr>
        <w:pStyle w:val="Firstparagraph"/>
      </w:pPr>
    </w:p>
    <w:p w:rsidR="001C0B79" w:rsidRPr="00155BBE" w:rsidRDefault="001C0B79" w:rsidP="001C0B79">
      <w:pPr>
        <w:pStyle w:val="Ttulo2"/>
      </w:pPr>
      <w:r w:rsidRPr="00155BBE">
        <w:t>Comparison between cyclic strength of reconstituted specimens and undisturbed samples</w:t>
      </w:r>
    </w:p>
    <w:p w:rsidR="001C0B79" w:rsidRPr="00155BBE" w:rsidRDefault="001C0B79" w:rsidP="001C0B79">
      <w:pPr>
        <w:pStyle w:val="Firstparagraph"/>
      </w:pPr>
    </w:p>
    <w:p w:rsidR="001C0B79" w:rsidRPr="00155BBE" w:rsidRDefault="001C0B79" w:rsidP="001C0B79">
      <w:pPr>
        <w:pStyle w:val="Firstparagraph"/>
      </w:pPr>
      <w:r w:rsidRPr="00155BBE">
        <w:t>On the other hand a decrease in cyclic strength is observed in older undisturbed samples (see Figure</w:t>
      </w:r>
      <w:r w:rsidR="00F71EA5" w:rsidRPr="00155BBE">
        <w:t>10)</w:t>
      </w:r>
      <w:r w:rsidRPr="00155BBE">
        <w:t xml:space="preserve">. </w:t>
      </w:r>
      <w:r w:rsidR="00155BBE" w:rsidRPr="00155BBE">
        <w:t>However</w:t>
      </w:r>
      <w:r w:rsidR="00155BBE">
        <w:t>,</w:t>
      </w:r>
      <w:r w:rsidR="00155BBE" w:rsidRPr="00155BBE">
        <w:t xml:space="preserve"> to compare directly it is necessary to correct for fine content and for relative density.  </w:t>
      </w:r>
      <w:r w:rsidRPr="00155BBE">
        <w:t>The 5 months old sample</w:t>
      </w:r>
      <w:r w:rsidR="00F71EA5" w:rsidRPr="00155BBE">
        <w:t xml:space="preserve"> has 18% fines instead of 15% of</w:t>
      </w:r>
      <w:r w:rsidRPr="00155BBE">
        <w:t xml:space="preserve"> the one mo</w:t>
      </w:r>
      <w:r w:rsidR="00F71EA5" w:rsidRPr="00155BBE">
        <w:t>n</w:t>
      </w:r>
      <w:r w:rsidRPr="00155BBE">
        <w:t>th old sample. However, relative density is the main difference between these two samples as the 1 mo</w:t>
      </w:r>
      <w:r w:rsidR="00F71EA5" w:rsidRPr="00155BBE">
        <w:t xml:space="preserve">nth old samples have and average </w:t>
      </w:r>
      <w:r w:rsidRPr="00155BBE">
        <w:t xml:space="preserve">relative density </w:t>
      </w:r>
      <w:r w:rsidR="00F71EA5" w:rsidRPr="00155BBE">
        <w:t xml:space="preserve"> 83.5% that is </w:t>
      </w:r>
      <w:r w:rsidRPr="00155BBE">
        <w:t xml:space="preserve">higher than the </w:t>
      </w:r>
      <w:r w:rsidR="00F71EA5" w:rsidRPr="00155BBE">
        <w:t xml:space="preserve">average </w:t>
      </w:r>
      <w:r w:rsidRPr="00155BBE">
        <w:t>69% of the 5 mo</w:t>
      </w:r>
      <w:r w:rsidR="00F71EA5" w:rsidRPr="00155BBE">
        <w:t>n</w:t>
      </w:r>
      <w:r w:rsidRPr="00155BBE">
        <w:t xml:space="preserve">ths old sample. </w:t>
      </w:r>
      <w:r w:rsidRPr="00155BBE">
        <w:lastRenderedPageBreak/>
        <w:t>Additional samples are required form the field to find out the rate of increasing cyclic strength on the field</w:t>
      </w:r>
      <w:r w:rsidR="00F71EA5" w:rsidRPr="00155BBE">
        <w:t xml:space="preserve"> for samples with the same fine content</w:t>
      </w:r>
      <w:r w:rsidRPr="00155BBE">
        <w:t>.</w:t>
      </w:r>
    </w:p>
    <w:p w:rsidR="001C0B79" w:rsidRPr="00155BBE" w:rsidRDefault="001C0B79" w:rsidP="001C0B79"/>
    <w:p w:rsidR="001C0B79" w:rsidRPr="00155BBE" w:rsidRDefault="00F16C60" w:rsidP="001C0B79">
      <w:pPr>
        <w:pStyle w:val="FigurePhoto"/>
      </w:pPr>
      <w:r>
        <w:rPr>
          <w:noProof/>
          <w:lang w:val="es-MX" w:eastAsia="es-MX"/>
        </w:rPr>
        <w:drawing>
          <wp:inline distT="0" distB="0" distL="0" distR="0">
            <wp:extent cx="2947670" cy="1869440"/>
            <wp:effectExtent l="1905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2947670" cy="1869440"/>
                    </a:xfrm>
                    <a:prstGeom prst="rect">
                      <a:avLst/>
                    </a:prstGeom>
                    <a:noFill/>
                    <a:ln w="9525">
                      <a:noFill/>
                      <a:miter lim="800000"/>
                      <a:headEnd/>
                      <a:tailEnd/>
                    </a:ln>
                  </pic:spPr>
                </pic:pic>
              </a:graphicData>
            </a:graphic>
          </wp:inline>
        </w:drawing>
      </w:r>
    </w:p>
    <w:p w:rsidR="001C0B79" w:rsidRPr="00155BBE" w:rsidRDefault="001C0B79" w:rsidP="001C0B79">
      <w:pPr>
        <w:pStyle w:val="Figurecaption"/>
      </w:pPr>
      <w:r w:rsidRPr="00155BBE">
        <w:t>Figure 10. Cyclic stress ratio to cause 5% axial strain</w:t>
      </w:r>
    </w:p>
    <w:p w:rsidR="001C0B79" w:rsidRPr="00155BBE" w:rsidRDefault="001C0B79" w:rsidP="001C0B79"/>
    <w:p w:rsidR="001C0B79" w:rsidRPr="00155BBE" w:rsidRDefault="001C0B79" w:rsidP="001C0B79">
      <w:r w:rsidRPr="00155BBE">
        <w:rPr>
          <w:rStyle w:val="FirstparagraphCar"/>
        </w:rPr>
        <w:t xml:space="preserve">However with the tests results obtained is possible to realize that the cyclic strength of reconstituted specimen is much higher than the cyclic strength of undisturbed samples of the same soil. In Figure 11 is shown the tests results of reconstituted specimens and undisturbed samples with the same soil with a fine content of 18% and small range of </w:t>
      </w:r>
      <w:r w:rsidR="00F71EA5" w:rsidRPr="00155BBE">
        <w:rPr>
          <w:rStyle w:val="FirstparagraphCar"/>
        </w:rPr>
        <w:t>average relative density</w:t>
      </w:r>
      <w:r w:rsidRPr="00155BBE">
        <w:rPr>
          <w:rStyle w:val="FirstparagraphCar"/>
        </w:rPr>
        <w:t xml:space="preserve"> that varies from 67.4% to 69%. Undisturbed samples with 5 month have a smaller cyclic strength than fresh reconstituted specimens and approximately 20% less cyclic strength than reconstituted specimens on the laboratory. This information is important as in many cases obtaining undisturbed samples is difficult and expensive and therefore reconstituted specimens are used to acquire the properties of the soil and its changes with time. The difference in fabric between undisturbed samples and the same soil reconstituted by moist tamping are believed the main cause in this difference in cyclic strength</w:t>
      </w:r>
      <w:r w:rsidRPr="00155BBE">
        <w:t>.</w:t>
      </w:r>
    </w:p>
    <w:p w:rsidR="001C0B79" w:rsidRPr="00155BBE" w:rsidRDefault="001C0B79" w:rsidP="001C0B79"/>
    <w:p w:rsidR="001C0B79" w:rsidRPr="00155BBE" w:rsidRDefault="00F71EA5" w:rsidP="001C0B79">
      <w:pPr>
        <w:pStyle w:val="Firstparagraph"/>
      </w:pPr>
      <w:r w:rsidRPr="00155BBE">
        <w:t>Similarly in Figure 12</w:t>
      </w:r>
      <w:r w:rsidR="001C0B79" w:rsidRPr="00155BBE">
        <w:t xml:space="preserve"> it is shown the difference in cyclic stress ratio between undisturbed and reconstituted samples. </w:t>
      </w:r>
      <w:r w:rsidR="00155BBE" w:rsidRPr="00155BBE">
        <w:t>Reconstituted specimens have all a fine content of 15%, however as the undisturbed</w:t>
      </w:r>
      <w:r w:rsidR="00155BBE">
        <w:t xml:space="preserve"> samples with 15% of fines had</w:t>
      </w:r>
      <w:r w:rsidR="00155BBE" w:rsidRPr="00155BBE">
        <w:t xml:space="preserve"> higher relative density (see Fig. 11), therefore in Figure 12 undisturbed samples shown have 18% of fines (open triangles). </w:t>
      </w:r>
      <w:r w:rsidR="001C0B79" w:rsidRPr="00155BBE">
        <w:t xml:space="preserve">The open </w:t>
      </w:r>
      <w:r w:rsidR="00155BBE" w:rsidRPr="00155BBE">
        <w:t>circles are</w:t>
      </w:r>
      <w:r w:rsidR="001C0B79" w:rsidRPr="00155BBE">
        <w:t xml:space="preserve"> the same data but corrected using </w:t>
      </w:r>
      <w:r w:rsidRPr="00155BBE">
        <w:t xml:space="preserve">the data from </w:t>
      </w:r>
      <w:r w:rsidR="001C0B79" w:rsidRPr="00155BBE">
        <w:t xml:space="preserve">Fig. </w:t>
      </w:r>
      <w:r w:rsidRPr="00155BBE">
        <w:t>10</w:t>
      </w:r>
      <w:r w:rsidR="001C0B79" w:rsidRPr="00155BBE">
        <w:t xml:space="preserve"> </w:t>
      </w:r>
      <w:r w:rsidRPr="00155BBE">
        <w:t xml:space="preserve">correcting the cyclic strength of </w:t>
      </w:r>
      <w:r w:rsidR="001C0B79" w:rsidRPr="00155BBE">
        <w:t xml:space="preserve">the soil </w:t>
      </w:r>
      <w:r w:rsidRPr="00155BBE">
        <w:t xml:space="preserve">to represent a soil with </w:t>
      </w:r>
      <w:r w:rsidR="001C0B79" w:rsidRPr="00155BBE">
        <w:t xml:space="preserve">15% of fines instead of 18%.  </w:t>
      </w:r>
      <w:r w:rsidR="00155BBE" w:rsidRPr="00155BBE">
        <w:t>Both the original and</w:t>
      </w:r>
      <w:r w:rsidR="001C0B79" w:rsidRPr="00155BBE">
        <w:t xml:space="preserve"> the corrected data for the undisturbed samples (open symbols) are always below the data from the reconstituted specimens with 15% of fines. Corrected data for 5 mo</w:t>
      </w:r>
      <w:r w:rsidRPr="00155BBE">
        <w:t>n</w:t>
      </w:r>
      <w:r w:rsidR="001C0B79" w:rsidRPr="00155BBE">
        <w:t>th</w:t>
      </w:r>
      <w:r w:rsidRPr="00155BBE">
        <w:t>s</w:t>
      </w:r>
      <w:r w:rsidR="001C0B79" w:rsidRPr="00155BBE">
        <w:t xml:space="preserve"> old undisturbed samples lie always below even the fresh reconstituted specimens, indicating again that the undisturbed samples show a lower cyclic stress ratio than the moist tamped reconstituted specimens.</w:t>
      </w:r>
    </w:p>
    <w:p w:rsidR="009F5695" w:rsidRPr="00155BBE" w:rsidRDefault="009F5695" w:rsidP="009F5695">
      <w:pPr>
        <w:pStyle w:val="Ttulo1"/>
      </w:pPr>
      <w:r w:rsidRPr="00155BBE">
        <w:t>Summary remarks</w:t>
      </w:r>
    </w:p>
    <w:p w:rsidR="009F5695" w:rsidRPr="00155BBE" w:rsidRDefault="009F5695" w:rsidP="009F5695">
      <w:pPr>
        <w:pStyle w:val="Firstparagraph"/>
      </w:pPr>
    </w:p>
    <w:p w:rsidR="009F5695" w:rsidRPr="00155BBE" w:rsidRDefault="009F5695" w:rsidP="009F5695">
      <w:pPr>
        <w:pStyle w:val="Firstparagraph"/>
      </w:pPr>
      <w:r w:rsidRPr="00155BBE">
        <w:t>(1) Tests on reconstituted specimens on soils specimens with 15 and 18% of fines show an aging effect that increases the cyclic stress ratio to cause liquefaction.</w:t>
      </w:r>
    </w:p>
    <w:p w:rsidR="009F5695" w:rsidRPr="00155BBE" w:rsidRDefault="009F5695" w:rsidP="009F5695">
      <w:pPr>
        <w:pStyle w:val="Firstparagraph"/>
      </w:pPr>
      <w:r w:rsidRPr="00155BBE">
        <w:t>(2) Cyclic strength on reconstituted specimens is higher on soils with 18% of fines in comparison with soils with 15% of fines.</w:t>
      </w:r>
    </w:p>
    <w:p w:rsidR="009F5695" w:rsidRPr="00155BBE" w:rsidRDefault="009F5695" w:rsidP="009F5695">
      <w:pPr>
        <w:pStyle w:val="Firstparagraph"/>
      </w:pPr>
      <w:r w:rsidRPr="00155BBE">
        <w:t>(3) The rate of increase in cyclic strength is different between soil specimens with 18% and 15% of fines. The rate of increase measured in laboratory tests show a higher rate of increase in the 15% fine content soils.</w:t>
      </w:r>
    </w:p>
    <w:p w:rsidR="009F5695" w:rsidRPr="00155BBE" w:rsidRDefault="009F5695" w:rsidP="009F5695">
      <w:pPr>
        <w:pStyle w:val="Firstparagraph"/>
      </w:pPr>
      <w:r w:rsidRPr="00155BBE">
        <w:t xml:space="preserve">(4) Cyclic strength is higher in reconstituted specimens by moist tamping than undisturbed samples taken from the compacted tailing dam. </w:t>
      </w:r>
    </w:p>
    <w:p w:rsidR="009F5695" w:rsidRPr="00155BBE" w:rsidRDefault="009F5695" w:rsidP="009F5695">
      <w:pPr>
        <w:pStyle w:val="Firstparagraph"/>
      </w:pPr>
      <w:r w:rsidRPr="00155BBE">
        <w:lastRenderedPageBreak/>
        <w:t xml:space="preserve">(5) Additional work is necessary to obtain the rate of increasing in strength on undisturbed samples and compare it with the reconstituted specimens in the laboratory. This information would be very useful in cases where is not </w:t>
      </w:r>
      <w:r w:rsidR="00155BBE" w:rsidRPr="00155BBE">
        <w:t>possible</w:t>
      </w:r>
      <w:r w:rsidRPr="00155BBE">
        <w:t xml:space="preserve"> to obtain undisturbed samples and it is desired to estimate the cyclic strength of the soil in the field.</w:t>
      </w:r>
    </w:p>
    <w:p w:rsidR="009F5695" w:rsidRPr="00155BBE" w:rsidRDefault="009F5695" w:rsidP="001C0B79"/>
    <w:p w:rsidR="001C0B79" w:rsidRPr="00155BBE" w:rsidRDefault="00F16C60" w:rsidP="001C0B79">
      <w:pPr>
        <w:pStyle w:val="FigurePhoto"/>
      </w:pPr>
      <w:r>
        <w:rPr>
          <w:noProof/>
          <w:lang w:val="es-MX" w:eastAsia="es-MX"/>
        </w:rPr>
        <w:drawing>
          <wp:inline distT="0" distB="0" distL="0" distR="0">
            <wp:extent cx="2954655" cy="2218055"/>
            <wp:effectExtent l="1905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2954655" cy="2218055"/>
                    </a:xfrm>
                    <a:prstGeom prst="rect">
                      <a:avLst/>
                    </a:prstGeom>
                    <a:noFill/>
                    <a:ln w="9525">
                      <a:noFill/>
                      <a:miter lim="800000"/>
                      <a:headEnd/>
                      <a:tailEnd/>
                    </a:ln>
                  </pic:spPr>
                </pic:pic>
              </a:graphicData>
            </a:graphic>
          </wp:inline>
        </w:drawing>
      </w:r>
    </w:p>
    <w:p w:rsidR="001C0B79" w:rsidRPr="00155BBE" w:rsidRDefault="001C0B79" w:rsidP="001C0B79">
      <w:pPr>
        <w:pStyle w:val="Figurecaption"/>
      </w:pPr>
      <w:r w:rsidRPr="00155BBE">
        <w:t>Fig. 1</w:t>
      </w:r>
      <w:r w:rsidR="00F71EA5" w:rsidRPr="00155BBE">
        <w:t>1</w:t>
      </w:r>
      <w:r w:rsidRPr="00155BBE">
        <w:t>: Comparison of cyclic stress ratio between undisturbed and reconstituted samples (F.C = 18%)</w:t>
      </w:r>
    </w:p>
    <w:p w:rsidR="001C0B79" w:rsidRPr="00155BBE" w:rsidRDefault="001C0B79" w:rsidP="001C0B79"/>
    <w:p w:rsidR="001C0B79" w:rsidRPr="00155BBE" w:rsidRDefault="00F16C60" w:rsidP="001C0B79">
      <w:pPr>
        <w:pStyle w:val="FigurePhoto"/>
      </w:pPr>
      <w:r>
        <w:rPr>
          <w:noProof/>
          <w:lang w:val="es-MX" w:eastAsia="es-MX"/>
        </w:rPr>
        <w:drawing>
          <wp:inline distT="0" distB="0" distL="0" distR="0">
            <wp:extent cx="2947670" cy="2115185"/>
            <wp:effectExtent l="19050" t="0" r="508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2947670" cy="2115185"/>
                    </a:xfrm>
                    <a:prstGeom prst="rect">
                      <a:avLst/>
                    </a:prstGeom>
                    <a:noFill/>
                    <a:ln w="9525">
                      <a:noFill/>
                      <a:miter lim="800000"/>
                      <a:headEnd/>
                      <a:tailEnd/>
                    </a:ln>
                  </pic:spPr>
                </pic:pic>
              </a:graphicData>
            </a:graphic>
          </wp:inline>
        </w:drawing>
      </w:r>
    </w:p>
    <w:p w:rsidR="001C0B79" w:rsidRPr="00155BBE" w:rsidRDefault="00F71EA5" w:rsidP="001C0B79">
      <w:pPr>
        <w:pStyle w:val="Figurecaption"/>
      </w:pPr>
      <w:r w:rsidRPr="00155BBE">
        <w:t>Fig. 12</w:t>
      </w:r>
      <w:r w:rsidR="001C0B79" w:rsidRPr="00155BBE">
        <w:t>: Comparison of cyclic stress ratio for reconstituted specimens F.C. = 15%.</w:t>
      </w:r>
    </w:p>
    <w:p w:rsidR="001C0B79" w:rsidRPr="00155BBE" w:rsidRDefault="001C0B79" w:rsidP="001C0B79"/>
    <w:p w:rsidR="001C0B79" w:rsidRPr="00155BBE" w:rsidRDefault="001C0B79" w:rsidP="001C0B79">
      <w:pPr>
        <w:pStyle w:val="Ttulo1"/>
      </w:pPr>
      <w:r w:rsidRPr="00155BBE">
        <w:t>References</w:t>
      </w:r>
    </w:p>
    <w:p w:rsidR="00F71EA5" w:rsidRPr="00155BBE" w:rsidRDefault="00F71EA5" w:rsidP="00F71EA5">
      <w:pPr>
        <w:pStyle w:val="Referencetext"/>
      </w:pPr>
      <w:r w:rsidRPr="00155BBE">
        <w:t xml:space="preserve">Mitchell, J. M. Practical problems from surprising soil behavior. J. of Geotechnical </w:t>
      </w:r>
      <w:smartTag w:uri="urn:schemas-microsoft-com:office:smarttags" w:element="country-region">
        <w:smartTag w:uri="urn:schemas-microsoft-com:office:smarttags" w:element="place">
          <w:r w:rsidRPr="00155BBE">
            <w:t>Eng.</w:t>
          </w:r>
        </w:smartTag>
      </w:smartTag>
      <w:r w:rsidRPr="00155BBE">
        <w:t>, Vol. 112, No. 3, March 1986: 259-289.</w:t>
      </w:r>
    </w:p>
    <w:p w:rsidR="001C0B79" w:rsidRPr="00155BBE" w:rsidRDefault="001C0B79" w:rsidP="00261BB4">
      <w:pPr>
        <w:pStyle w:val="Referencetext"/>
      </w:pPr>
      <w:r w:rsidRPr="00155BBE">
        <w:t xml:space="preserve">Seed, H. B. Soil liquefaction and cyclic mobility evaluation for level ground </w:t>
      </w:r>
      <w:r w:rsidR="00155BBE">
        <w:t>during earthquakes. J. of the G</w:t>
      </w:r>
      <w:r w:rsidRPr="00155BBE">
        <w:t>e</w:t>
      </w:r>
      <w:r w:rsidR="00155BBE">
        <w:t>o</w:t>
      </w:r>
      <w:r w:rsidRPr="00155BBE">
        <w:t xml:space="preserve">tech. </w:t>
      </w:r>
      <w:smartTag w:uri="urn:schemas-microsoft-com:office:smarttags" w:element="country-region">
        <w:smartTag w:uri="urn:schemas-microsoft-com:office:smarttags" w:element="place">
          <w:r w:rsidRPr="00155BBE">
            <w:t>Eng.</w:t>
          </w:r>
        </w:smartTag>
      </w:smartTag>
      <w:r w:rsidRPr="00155BBE">
        <w:t xml:space="preserve"> Division, </w:t>
      </w:r>
      <w:r w:rsidR="00155BBE">
        <w:t>P</w:t>
      </w:r>
      <w:r w:rsidR="00155BBE" w:rsidRPr="00155BBE">
        <w:t>r</w:t>
      </w:r>
      <w:r w:rsidR="00155BBE">
        <w:t>o</w:t>
      </w:r>
      <w:r w:rsidR="00155BBE" w:rsidRPr="00155BBE">
        <w:t>c</w:t>
      </w:r>
      <w:r w:rsidRPr="00155BBE">
        <w:t xml:space="preserve">. </w:t>
      </w:r>
      <w:r w:rsidR="00155BBE">
        <w:t>o</w:t>
      </w:r>
      <w:r w:rsidR="00155BBE" w:rsidRPr="00155BBE">
        <w:t xml:space="preserve">f the American Society of Civil Engineers, Vol. 105, No. </w:t>
      </w:r>
      <w:r w:rsidRPr="00155BBE">
        <w:t>GT2, Feb. 1979: 201-255.</w:t>
      </w:r>
    </w:p>
    <w:p w:rsidR="00F71EA5" w:rsidRPr="00155BBE" w:rsidRDefault="00F71EA5" w:rsidP="00261BB4">
      <w:pPr>
        <w:pStyle w:val="Referencetext"/>
      </w:pPr>
      <w:r w:rsidRPr="00155BBE">
        <w:t xml:space="preserve">Skempton, A.W. (1986). “Standard penetration test procedures and the effects in sands of </w:t>
      </w:r>
      <w:r w:rsidR="00155BBE" w:rsidRPr="00155BBE">
        <w:t>overburden</w:t>
      </w:r>
      <w:r w:rsidRPr="00155BBE">
        <w:t xml:space="preserve"> pressure, relative density, particle size, ageing and overconsolidation.” Geotechnique, Sep., 438.</w:t>
      </w:r>
    </w:p>
    <w:p w:rsidR="00F71EA5" w:rsidRPr="00155BBE" w:rsidRDefault="00F71EA5" w:rsidP="00261BB4">
      <w:pPr>
        <w:pStyle w:val="Referencetext"/>
      </w:pPr>
      <w:r w:rsidRPr="00155BBE">
        <w:t xml:space="preserve">Troncoso, J., Ishihara, K. and Verdugo, R. Aging effects on cyclic shear strength of tailing materials. Proc. Of Ninth World Conference on Earthquake Engineering, 1988, </w:t>
      </w:r>
      <w:smartTag w:uri="urn:schemas-microsoft-com:office:smarttags" w:element="place">
        <w:smartTag w:uri="urn:schemas-microsoft-com:office:smarttags" w:element="City">
          <w:r w:rsidRPr="00155BBE">
            <w:t>Tokyo-Kyoto</w:t>
          </w:r>
        </w:smartTag>
        <w:r w:rsidRPr="00155BBE">
          <w:t xml:space="preserve">, </w:t>
        </w:r>
        <w:smartTag w:uri="urn:schemas-microsoft-com:office:smarttags" w:element="country-region">
          <w:r w:rsidRPr="00155BBE">
            <w:t>Japan</w:t>
          </w:r>
        </w:smartTag>
      </w:smartTag>
      <w:r w:rsidRPr="00155BBE">
        <w:t>.</w:t>
      </w:r>
    </w:p>
    <w:p w:rsidR="001C0B79" w:rsidRPr="00155BBE" w:rsidRDefault="001C0B79" w:rsidP="00261BB4">
      <w:pPr>
        <w:pStyle w:val="Referencetext"/>
      </w:pPr>
    </w:p>
    <w:sectPr w:rsidR="001C0B79" w:rsidRPr="00155BBE" w:rsidSect="00317FA4">
      <w:type w:val="continuous"/>
      <w:pgSz w:w="11907" w:h="16840" w:code="9"/>
      <w:pgMar w:top="907" w:right="1106" w:bottom="1644" w:left="1106" w:header="0" w:footer="0" w:gutter="0"/>
      <w:cols w:num="2" w:space="397"/>
      <w:formProt w:val="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embedRegular r:id="rId1" w:fontKey="{B70EF3C7-24A3-43FB-9B14-FC0C0F8D80D9}"/>
  </w:font>
  <w:font w:name="Calibri">
    <w:panose1 w:val="020F0502020204030204"/>
    <w:charset w:val="00"/>
    <w:family w:val="swiss"/>
    <w:pitch w:val="variable"/>
    <w:sig w:usb0="A00002EF" w:usb1="4000207B" w:usb2="00000000" w:usb3="00000000" w:csb0="0000009F" w:csb1="00000000"/>
    <w:embedRegular r:id="rId2" w:fontKey="{FE4470FD-97A9-4F86-8C9C-E94157B64637}"/>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482E7AE0"/>
    <w:lvl w:ilvl="0">
      <w:start w:val="1"/>
      <w:numFmt w:val="decimal"/>
      <w:pStyle w:val="Ttulo1"/>
      <w:lvlText w:val="%1"/>
      <w:lvlJc w:val="left"/>
      <w:pPr>
        <w:tabs>
          <w:tab w:val="num" w:pos="0"/>
        </w:tabs>
        <w:ind w:left="0" w:firstLine="0"/>
      </w:pPr>
      <w:rPr>
        <w:rFonts w:ascii="Times New Roman" w:hAnsi="Times New Roman" w:hint="default"/>
        <w:b w:val="0"/>
        <w:i w:val="0"/>
        <w:sz w:val="18"/>
        <w:szCs w:val="18"/>
      </w:rPr>
    </w:lvl>
    <w:lvl w:ilvl="1">
      <w:start w:val="1"/>
      <w:numFmt w:val="decimal"/>
      <w:pStyle w:val="Ttulo2"/>
      <w:lvlText w:val="%1.%2"/>
      <w:lvlJc w:val="left"/>
      <w:pPr>
        <w:tabs>
          <w:tab w:val="num" w:pos="454"/>
        </w:tabs>
        <w:ind w:left="454" w:hanging="454"/>
      </w:pPr>
      <w:rPr>
        <w:rFonts w:ascii="Times New Roman" w:hAnsi="Times New Roman" w:hint="default"/>
        <w:b w:val="0"/>
        <w:i w:val="0"/>
        <w:sz w:val="18"/>
        <w:szCs w:val="18"/>
      </w:rPr>
    </w:lvl>
    <w:lvl w:ilvl="2">
      <w:start w:val="1"/>
      <w:numFmt w:val="decimal"/>
      <w:pStyle w:val="Ttulo3"/>
      <w:lvlText w:val="%1.%2.%3"/>
      <w:lvlJc w:val="left"/>
      <w:pPr>
        <w:tabs>
          <w:tab w:val="num" w:pos="624"/>
        </w:tabs>
        <w:ind w:left="624" w:hanging="624"/>
      </w:pPr>
      <w:rPr>
        <w:rFonts w:ascii="Times New Roman" w:hAnsi="Times New Roman" w:hint="default"/>
        <w:b w:val="0"/>
        <w:i w:val="0"/>
        <w:sz w:val="18"/>
        <w:szCs w:val="18"/>
      </w:rPr>
    </w:lvl>
    <w:lvl w:ilvl="3">
      <w:start w:val="1"/>
      <w:numFmt w:val="none"/>
      <w:pStyle w:val="Ttulo4"/>
      <w:lvlText w:val="NOT TO BE USED"/>
      <w:lvlJc w:val="left"/>
      <w:pPr>
        <w:tabs>
          <w:tab w:val="num" w:pos="0"/>
        </w:tabs>
        <w:ind w:left="0" w:firstLine="0"/>
      </w:pPr>
      <w:rPr>
        <w:rFonts w:ascii="Times New Roman" w:hAnsi="Times New Roman" w:hint="default"/>
        <w:b w:val="0"/>
        <w:i w:val="0"/>
        <w:sz w:val="18"/>
      </w:rPr>
    </w:lvl>
    <w:lvl w:ilvl="4">
      <w:start w:val="1"/>
      <w:numFmt w:val="decimal"/>
      <w:pStyle w:val="Ttulo5"/>
      <w:lvlText w:val="(%5)"/>
      <w:lvlJc w:val="left"/>
      <w:pPr>
        <w:tabs>
          <w:tab w:val="num" w:pos="0"/>
        </w:tabs>
        <w:ind w:left="708" w:hanging="708"/>
      </w:pPr>
      <w:rPr>
        <w:rFonts w:hint="default"/>
      </w:rPr>
    </w:lvl>
    <w:lvl w:ilvl="5">
      <w:start w:val="1"/>
      <w:numFmt w:val="lowerLetter"/>
      <w:pStyle w:val="Ttulo6"/>
      <w:lvlText w:val="(%6)"/>
      <w:lvlJc w:val="left"/>
      <w:pPr>
        <w:tabs>
          <w:tab w:val="num" w:pos="0"/>
        </w:tabs>
        <w:ind w:left="1416" w:hanging="708"/>
      </w:pPr>
      <w:rPr>
        <w:rFonts w:hint="default"/>
      </w:rPr>
    </w:lvl>
    <w:lvl w:ilvl="6">
      <w:start w:val="1"/>
      <w:numFmt w:val="lowerRoman"/>
      <w:pStyle w:val="Ttulo7"/>
      <w:lvlText w:val="(%7)"/>
      <w:lvlJc w:val="left"/>
      <w:pPr>
        <w:tabs>
          <w:tab w:val="num" w:pos="0"/>
        </w:tabs>
        <w:ind w:left="2124" w:hanging="708"/>
      </w:pPr>
      <w:rPr>
        <w:rFonts w:hint="default"/>
      </w:rPr>
    </w:lvl>
    <w:lvl w:ilvl="7">
      <w:start w:val="1"/>
      <w:numFmt w:val="lowerLetter"/>
      <w:pStyle w:val="Ttulo8"/>
      <w:lvlText w:val="(%8)"/>
      <w:lvlJc w:val="left"/>
      <w:pPr>
        <w:tabs>
          <w:tab w:val="num" w:pos="0"/>
        </w:tabs>
        <w:ind w:left="2832" w:hanging="708"/>
      </w:pPr>
      <w:rPr>
        <w:rFonts w:hint="default"/>
      </w:rPr>
    </w:lvl>
    <w:lvl w:ilvl="8">
      <w:start w:val="1"/>
      <w:numFmt w:val="lowerRoman"/>
      <w:pStyle w:val="Ttulo9"/>
      <w:lvlText w:val="(%9)"/>
      <w:lvlJc w:val="left"/>
      <w:pPr>
        <w:tabs>
          <w:tab w:val="num" w:pos="0"/>
        </w:tabs>
        <w:ind w:left="3540" w:hanging="708"/>
      </w:pPr>
      <w:rPr>
        <w:rFonts w:hint="default"/>
      </w:rPr>
    </w:lvl>
  </w:abstractNum>
  <w:abstractNum w:abstractNumId="1">
    <w:nsid w:val="04F425C9"/>
    <w:multiLevelType w:val="singleLevel"/>
    <w:tmpl w:val="7884BC58"/>
    <w:lvl w:ilvl="0">
      <w:start w:val="1"/>
      <w:numFmt w:val="bullet"/>
      <w:lvlText w:val=""/>
      <w:lvlJc w:val="left"/>
      <w:pPr>
        <w:tabs>
          <w:tab w:val="num" w:pos="360"/>
        </w:tabs>
        <w:ind w:left="283" w:hanging="283"/>
      </w:pPr>
      <w:rPr>
        <w:rFonts w:ascii="Symbol" w:hAnsi="Symbol" w:hint="default"/>
      </w:rPr>
    </w:lvl>
  </w:abstractNum>
  <w:abstractNum w:abstractNumId="2">
    <w:nsid w:val="080140EF"/>
    <w:multiLevelType w:val="multilevel"/>
    <w:tmpl w:val="59CC3DAE"/>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0"/>
        </w:tabs>
        <w:ind w:left="0" w:firstLine="0"/>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3">
    <w:nsid w:val="0BAD2E84"/>
    <w:multiLevelType w:val="multilevel"/>
    <w:tmpl w:val="CC240806"/>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284"/>
        </w:tabs>
        <w:ind w:left="284" w:hanging="284"/>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4">
    <w:nsid w:val="0C4C78C8"/>
    <w:multiLevelType w:val="multilevel"/>
    <w:tmpl w:val="828802F4"/>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32767"/>
        </w:tabs>
        <w:ind w:left="-32767" w:firstLine="32767"/>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5">
    <w:nsid w:val="0CA12764"/>
    <w:multiLevelType w:val="multilevel"/>
    <w:tmpl w:val="7F2AEF3A"/>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454"/>
        </w:tabs>
        <w:ind w:left="454" w:hanging="454"/>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6">
    <w:nsid w:val="0FE20F32"/>
    <w:multiLevelType w:val="singleLevel"/>
    <w:tmpl w:val="9F760F60"/>
    <w:lvl w:ilvl="0">
      <w:start w:val="1"/>
      <w:numFmt w:val="decimal"/>
      <w:lvlText w:val="%1"/>
      <w:legacy w:legacy="1" w:legacySpace="0" w:legacyIndent="283"/>
      <w:lvlJc w:val="left"/>
      <w:pPr>
        <w:ind w:left="283" w:hanging="283"/>
      </w:pPr>
      <w:rPr>
        <w:rFonts w:ascii="Times New Roman" w:hAnsi="Times New Roman" w:hint="default"/>
        <w:b w:val="0"/>
        <w:i w:val="0"/>
        <w:sz w:val="24"/>
      </w:rPr>
    </w:lvl>
  </w:abstractNum>
  <w:abstractNum w:abstractNumId="7">
    <w:nsid w:val="13043344"/>
    <w:multiLevelType w:val="singleLevel"/>
    <w:tmpl w:val="9F760F60"/>
    <w:lvl w:ilvl="0">
      <w:start w:val="1"/>
      <w:numFmt w:val="decimal"/>
      <w:lvlText w:val="%1"/>
      <w:legacy w:legacy="1" w:legacySpace="0" w:legacyIndent="283"/>
      <w:lvlJc w:val="left"/>
      <w:pPr>
        <w:ind w:left="283" w:hanging="283"/>
      </w:pPr>
      <w:rPr>
        <w:rFonts w:ascii="Times New Roman" w:hAnsi="Times New Roman" w:hint="default"/>
        <w:b w:val="0"/>
        <w:i w:val="0"/>
        <w:sz w:val="24"/>
      </w:rPr>
    </w:lvl>
  </w:abstractNum>
  <w:abstractNum w:abstractNumId="8">
    <w:nsid w:val="13C47F2D"/>
    <w:multiLevelType w:val="multilevel"/>
    <w:tmpl w:val="C832C644"/>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454"/>
        </w:tabs>
        <w:ind w:left="454" w:hanging="454"/>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18"/>
        <w:szCs w:val="18"/>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9">
    <w:nsid w:val="1DB015AE"/>
    <w:multiLevelType w:val="multilevel"/>
    <w:tmpl w:val="B0D8C8BE"/>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567"/>
        </w:tabs>
        <w:ind w:left="567" w:hanging="567"/>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0">
    <w:nsid w:val="1DF16E1F"/>
    <w:multiLevelType w:val="singleLevel"/>
    <w:tmpl w:val="9F760F60"/>
    <w:lvl w:ilvl="0">
      <w:start w:val="1"/>
      <w:numFmt w:val="decimal"/>
      <w:lvlText w:val="%1"/>
      <w:legacy w:legacy="1" w:legacySpace="0" w:legacyIndent="283"/>
      <w:lvlJc w:val="left"/>
      <w:pPr>
        <w:ind w:left="283" w:hanging="283"/>
      </w:pPr>
      <w:rPr>
        <w:rFonts w:ascii="Times New Roman" w:hAnsi="Times New Roman" w:hint="default"/>
        <w:b w:val="0"/>
        <w:i w:val="0"/>
        <w:sz w:val="24"/>
      </w:rPr>
    </w:lvl>
  </w:abstractNum>
  <w:abstractNum w:abstractNumId="11">
    <w:nsid w:val="22820070"/>
    <w:multiLevelType w:val="multilevel"/>
    <w:tmpl w:val="5992C100"/>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510"/>
        </w:tabs>
        <w:ind w:left="510" w:hanging="510"/>
      </w:pPr>
      <w:rPr>
        <w:rFonts w:ascii="Times New Roman" w:hAnsi="Times New Roman" w:hint="default"/>
        <w:b w:val="0"/>
        <w:i w:val="0"/>
        <w:sz w:val="24"/>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2">
    <w:nsid w:val="29654FAC"/>
    <w:multiLevelType w:val="multilevel"/>
    <w:tmpl w:val="CBAC22F8"/>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0"/>
        </w:tabs>
        <w:ind w:left="0" w:firstLine="0"/>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3">
    <w:nsid w:val="2AC20976"/>
    <w:multiLevelType w:val="multilevel"/>
    <w:tmpl w:val="8758E1C2"/>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0"/>
        </w:tabs>
        <w:ind w:left="0" w:firstLine="0"/>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4">
    <w:nsid w:val="2E1475DF"/>
    <w:multiLevelType w:val="multilevel"/>
    <w:tmpl w:val="F67451BE"/>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454"/>
        </w:tabs>
        <w:ind w:left="454" w:hanging="454"/>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5">
    <w:nsid w:val="4532568E"/>
    <w:multiLevelType w:val="multilevel"/>
    <w:tmpl w:val="77C8CA32"/>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454"/>
        </w:tabs>
        <w:ind w:left="454" w:hanging="454"/>
      </w:pPr>
      <w:rPr>
        <w:rFonts w:ascii="Times New Roman" w:hAnsi="Times New Roman" w:hint="default"/>
        <w:b w:val="0"/>
        <w:i w:val="0"/>
        <w:sz w:val="18"/>
        <w:szCs w:val="18"/>
      </w:rPr>
    </w:lvl>
    <w:lvl w:ilvl="2">
      <w:start w:val="1"/>
      <w:numFmt w:val="decimal"/>
      <w:lvlText w:val="%1.%2.%3"/>
      <w:lvlJc w:val="left"/>
      <w:pPr>
        <w:tabs>
          <w:tab w:val="num" w:pos="567"/>
        </w:tabs>
        <w:ind w:left="567" w:hanging="567"/>
      </w:pPr>
      <w:rPr>
        <w:rFonts w:ascii="Times New Roman" w:hAnsi="Times New Roman" w:hint="default"/>
        <w:b w:val="0"/>
        <w:i w:val="0"/>
        <w:sz w:val="18"/>
        <w:szCs w:val="18"/>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6">
    <w:nsid w:val="490A4444"/>
    <w:multiLevelType w:val="multilevel"/>
    <w:tmpl w:val="5992C100"/>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510"/>
        </w:tabs>
        <w:ind w:left="510" w:hanging="510"/>
      </w:pPr>
      <w:rPr>
        <w:rFonts w:ascii="Times New Roman" w:hAnsi="Times New Roman" w:hint="default"/>
        <w:b w:val="0"/>
        <w:i w:val="0"/>
        <w:sz w:val="24"/>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7">
    <w:nsid w:val="4FA83054"/>
    <w:multiLevelType w:val="multilevel"/>
    <w:tmpl w:val="11FC5624"/>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510"/>
        </w:tabs>
        <w:ind w:left="510" w:hanging="510"/>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8">
    <w:nsid w:val="59AF5FCB"/>
    <w:multiLevelType w:val="multilevel"/>
    <w:tmpl w:val="92FA0EF6"/>
    <w:lvl w:ilvl="0">
      <w:start w:val="1"/>
      <w:numFmt w:val="decimal"/>
      <w:lvlText w:val="%1"/>
      <w:lvlJc w:val="left"/>
      <w:pPr>
        <w:tabs>
          <w:tab w:val="num" w:pos="340"/>
        </w:tabs>
        <w:ind w:left="340" w:hanging="340"/>
      </w:pPr>
      <w:rPr>
        <w:rFonts w:hint="default"/>
        <w:b w:val="0"/>
        <w:i w:val="0"/>
        <w:sz w:val="24"/>
      </w:rPr>
    </w:lvl>
    <w:lvl w:ilvl="1">
      <w:start w:val="1"/>
      <w:numFmt w:val="decimal"/>
      <w:lvlText w:val="%1.%2"/>
      <w:lvlJc w:val="left"/>
      <w:pPr>
        <w:tabs>
          <w:tab w:val="num" w:pos="510"/>
        </w:tabs>
        <w:ind w:left="510" w:hanging="510"/>
      </w:pPr>
      <w:rPr>
        <w:rFonts w:ascii="Times New Roman" w:hAnsi="Times New Roman" w:hint="default"/>
        <w:b w:val="0"/>
        <w:i w:val="0"/>
        <w:sz w:val="24"/>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19">
    <w:nsid w:val="61B81549"/>
    <w:multiLevelType w:val="multilevel"/>
    <w:tmpl w:val="8758E1C2"/>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0"/>
        </w:tabs>
        <w:ind w:left="0" w:firstLine="0"/>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20">
    <w:nsid w:val="642E078D"/>
    <w:multiLevelType w:val="multilevel"/>
    <w:tmpl w:val="AA62F730"/>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284"/>
        </w:tabs>
        <w:ind w:left="284" w:hanging="284"/>
      </w:pPr>
      <w:rPr>
        <w:rFonts w:ascii="Times New Roman" w:hAnsi="Times New Roman" w:hint="default"/>
        <w:b w:val="0"/>
        <w:i w:val="0"/>
        <w:sz w:val="18"/>
        <w:szCs w:val="18"/>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21">
    <w:nsid w:val="68DE4F01"/>
    <w:multiLevelType w:val="multilevel"/>
    <w:tmpl w:val="8842B17E"/>
    <w:lvl w:ilvl="0">
      <w:start w:val="1"/>
      <w:numFmt w:val="decimal"/>
      <w:lvlText w:val="%1"/>
      <w:lvlJc w:val="left"/>
      <w:pPr>
        <w:tabs>
          <w:tab w:val="num" w:pos="0"/>
        </w:tabs>
        <w:ind w:left="0" w:firstLine="0"/>
      </w:pPr>
      <w:rPr>
        <w:rFonts w:ascii="Times New Roman" w:hAnsi="Times New Roman" w:hint="default"/>
        <w:b w:val="0"/>
        <w:i w:val="0"/>
        <w:sz w:val="18"/>
        <w:szCs w:val="18"/>
      </w:rPr>
    </w:lvl>
    <w:lvl w:ilvl="1">
      <w:start w:val="1"/>
      <w:numFmt w:val="decimal"/>
      <w:lvlText w:val="%1.%2"/>
      <w:lvlJc w:val="left"/>
      <w:pPr>
        <w:tabs>
          <w:tab w:val="num" w:pos="454"/>
        </w:tabs>
        <w:ind w:left="454" w:hanging="454"/>
      </w:pPr>
      <w:rPr>
        <w:rFonts w:ascii="Times New Roman" w:hAnsi="Times New Roman" w:hint="default"/>
        <w:b w:val="0"/>
        <w:i w:val="0"/>
        <w:sz w:val="18"/>
        <w:szCs w:val="18"/>
      </w:rPr>
    </w:lvl>
    <w:lvl w:ilvl="2">
      <w:start w:val="1"/>
      <w:numFmt w:val="decimal"/>
      <w:lvlText w:val="%1.%2.%3"/>
      <w:lvlJc w:val="left"/>
      <w:pPr>
        <w:tabs>
          <w:tab w:val="num" w:pos="624"/>
        </w:tabs>
        <w:ind w:left="624" w:hanging="624"/>
      </w:pPr>
      <w:rPr>
        <w:rFonts w:ascii="Times New Roman" w:hAnsi="Times New Roman" w:hint="default"/>
        <w:b w:val="0"/>
        <w:i w:val="0"/>
        <w:sz w:val="18"/>
        <w:szCs w:val="18"/>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abstractNum w:abstractNumId="22">
    <w:nsid w:val="78D7227A"/>
    <w:multiLevelType w:val="multilevel"/>
    <w:tmpl w:val="EE2C946A"/>
    <w:lvl w:ilvl="0">
      <w:start w:val="1"/>
      <w:numFmt w:val="decimal"/>
      <w:lvlText w:val="%1"/>
      <w:lvlJc w:val="left"/>
      <w:pPr>
        <w:tabs>
          <w:tab w:val="num" w:pos="360"/>
        </w:tabs>
        <w:ind w:left="340" w:hanging="340"/>
      </w:pPr>
      <w:rPr>
        <w:rFonts w:ascii="Times New Roman" w:hAnsi="Times New Roman" w:hint="default"/>
        <w:b w:val="0"/>
        <w:i w:val="0"/>
        <w:sz w:val="24"/>
      </w:rPr>
    </w:lvl>
    <w:lvl w:ilvl="1">
      <w:start w:val="1"/>
      <w:numFmt w:val="decimal"/>
      <w:lvlText w:val="%1.%2"/>
      <w:lvlJc w:val="left"/>
      <w:pPr>
        <w:tabs>
          <w:tab w:val="num" w:pos="510"/>
        </w:tabs>
        <w:ind w:left="510" w:hanging="510"/>
      </w:pPr>
      <w:rPr>
        <w:rFonts w:ascii="Times New Roman" w:hAnsi="Times New Roman" w:hint="default"/>
        <w:b w:val="0"/>
        <w:i w:val="0"/>
        <w:sz w:val="24"/>
      </w:rPr>
    </w:lvl>
    <w:lvl w:ilvl="2">
      <w:start w:val="1"/>
      <w:numFmt w:val="decimal"/>
      <w:lvlText w:val="%1.%2.%3"/>
      <w:lvlJc w:val="left"/>
      <w:pPr>
        <w:tabs>
          <w:tab w:val="num" w:pos="680"/>
        </w:tabs>
        <w:ind w:left="680" w:hanging="680"/>
      </w:pPr>
      <w:rPr>
        <w:rFonts w:ascii="Times New Roman" w:hAnsi="Times New Roman" w:hint="default"/>
        <w:b w:val="0"/>
        <w:i w:val="0"/>
        <w:sz w:val="24"/>
      </w:rPr>
    </w:lvl>
    <w:lvl w:ilvl="3">
      <w:start w:val="1"/>
      <w:numFmt w:val="decimal"/>
      <w:lvlText w:val="%1.%2.%3.%4"/>
      <w:lvlJc w:val="left"/>
      <w:pPr>
        <w:tabs>
          <w:tab w:val="num" w:pos="0"/>
        </w:tabs>
        <w:ind w:left="0" w:firstLine="0"/>
      </w:pPr>
      <w:rPr>
        <w:rFonts w:ascii="Times New Roman" w:hAnsi="Times New Roman" w:hint="default"/>
        <w:b w:val="0"/>
        <w:i w:val="0"/>
        <w:sz w:val="18"/>
      </w:rPr>
    </w:lvl>
    <w:lvl w:ilvl="4">
      <w:start w:val="1"/>
      <w:numFmt w:val="decimal"/>
      <w:lvlText w:val="(%5)"/>
      <w:lvlJc w:val="left"/>
      <w:pPr>
        <w:tabs>
          <w:tab w:val="num" w:pos="0"/>
        </w:tabs>
        <w:ind w:left="708" w:hanging="708"/>
      </w:pPr>
      <w:rPr>
        <w:rFonts w:hint="default"/>
      </w:rPr>
    </w:lvl>
    <w:lvl w:ilvl="5">
      <w:start w:val="1"/>
      <w:numFmt w:val="lowerLetter"/>
      <w:lvlText w:val="(%6)"/>
      <w:lvlJc w:val="left"/>
      <w:pPr>
        <w:tabs>
          <w:tab w:val="num" w:pos="0"/>
        </w:tabs>
        <w:ind w:left="1416" w:hanging="708"/>
      </w:pPr>
      <w:rPr>
        <w:rFonts w:hint="default"/>
      </w:rPr>
    </w:lvl>
    <w:lvl w:ilvl="6">
      <w:start w:val="1"/>
      <w:numFmt w:val="lowerRoman"/>
      <w:lvlText w:val="(%7)"/>
      <w:lvlJc w:val="left"/>
      <w:pPr>
        <w:tabs>
          <w:tab w:val="num" w:pos="0"/>
        </w:tabs>
        <w:ind w:left="2124" w:hanging="708"/>
      </w:pPr>
      <w:rPr>
        <w:rFonts w:hint="default"/>
      </w:rPr>
    </w:lvl>
    <w:lvl w:ilvl="7">
      <w:start w:val="1"/>
      <w:numFmt w:val="lowerLetter"/>
      <w:lvlText w:val="(%8)"/>
      <w:lvlJc w:val="left"/>
      <w:pPr>
        <w:tabs>
          <w:tab w:val="num" w:pos="0"/>
        </w:tabs>
        <w:ind w:left="2832" w:hanging="708"/>
      </w:pPr>
      <w:rPr>
        <w:rFonts w:hint="default"/>
      </w:rPr>
    </w:lvl>
    <w:lvl w:ilvl="8">
      <w:start w:val="1"/>
      <w:numFmt w:val="lowerRoman"/>
      <w:lvlText w:val="(%9)"/>
      <w:lvlJc w:val="left"/>
      <w:pPr>
        <w:tabs>
          <w:tab w:val="num" w:pos="0"/>
        </w:tabs>
        <w:ind w:left="3540" w:hanging="708"/>
      </w:pPr>
      <w:rPr>
        <w:rFonts w:hint="default"/>
      </w:rPr>
    </w:lvl>
  </w:abstractNum>
  <w:num w:numId="1">
    <w:abstractNumId w:val="0"/>
  </w:num>
  <w:num w:numId="2">
    <w:abstractNumId w:val="1"/>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6"/>
  </w:num>
  <w:num w:numId="13">
    <w:abstractNumId w:val="10"/>
  </w:num>
  <w:num w:numId="14">
    <w:abstractNumId w:val="7"/>
  </w:num>
  <w:num w:numId="15">
    <w:abstractNumId w:val="22"/>
  </w:num>
  <w:num w:numId="16">
    <w:abstractNumId w:val="18"/>
  </w:num>
  <w:num w:numId="17">
    <w:abstractNumId w:val="16"/>
  </w:num>
  <w:num w:numId="18">
    <w:abstractNumId w:val="11"/>
  </w:num>
  <w:num w:numId="19">
    <w:abstractNumId w:val="17"/>
  </w:num>
  <w:num w:numId="20">
    <w:abstractNumId w:val="4"/>
  </w:num>
  <w:num w:numId="21">
    <w:abstractNumId w:val="12"/>
  </w:num>
  <w:num w:numId="22">
    <w:abstractNumId w:val="13"/>
  </w:num>
  <w:num w:numId="23">
    <w:abstractNumId w:val="19"/>
  </w:num>
  <w:num w:numId="24">
    <w:abstractNumId w:val="9"/>
  </w:num>
  <w:num w:numId="25">
    <w:abstractNumId w:val="3"/>
  </w:num>
  <w:num w:numId="26">
    <w:abstractNumId w:val="2"/>
  </w:num>
  <w:num w:numId="27">
    <w:abstractNumId w:val="20"/>
  </w:num>
  <w:num w:numId="28">
    <w:abstractNumId w:val="14"/>
  </w:num>
  <w:num w:numId="29">
    <w:abstractNumId w:val="5"/>
  </w:num>
  <w:num w:numId="30">
    <w:abstractNumId w:val="8"/>
  </w:num>
  <w:num w:numId="31">
    <w:abstractNumId w:val="15"/>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TrueTypeFonts/>
  <w:attachedTemplate r:id="rId1"/>
  <w:linkStyles/>
  <w:stylePaneFormatFilter w:val="3F01"/>
  <w:defaultTabStop w:val="284"/>
  <w:consecutiveHyphenLimit w:val="3"/>
  <w:hyphenationZone w:val="45"/>
  <w:doNotHyphenateCaps/>
  <w:evenAndOddHeaders/>
  <w:displayHorizontalDrawingGridEvery w:val="0"/>
  <w:displayVerticalDrawingGridEvery w:val="0"/>
  <w:doNotUseMarginsForDrawingGridOrigin/>
  <w:noPunctuationKerning/>
  <w:characterSpacingControl w:val="doNotCompress"/>
  <w:compat/>
  <w:rsids>
    <w:rsidRoot w:val="003655BE"/>
    <w:rsid w:val="00062272"/>
    <w:rsid w:val="000A31C2"/>
    <w:rsid w:val="000D15C9"/>
    <w:rsid w:val="000F53C9"/>
    <w:rsid w:val="00155BBE"/>
    <w:rsid w:val="00176EE0"/>
    <w:rsid w:val="001C0B79"/>
    <w:rsid w:val="0023090E"/>
    <w:rsid w:val="002616B8"/>
    <w:rsid w:val="00261BB4"/>
    <w:rsid w:val="00317FA4"/>
    <w:rsid w:val="003655BE"/>
    <w:rsid w:val="003B0B16"/>
    <w:rsid w:val="003D7F9E"/>
    <w:rsid w:val="004008F7"/>
    <w:rsid w:val="00412D3B"/>
    <w:rsid w:val="00421906"/>
    <w:rsid w:val="00421B2F"/>
    <w:rsid w:val="00427922"/>
    <w:rsid w:val="00451303"/>
    <w:rsid w:val="00464FC5"/>
    <w:rsid w:val="004F5D47"/>
    <w:rsid w:val="005255D9"/>
    <w:rsid w:val="00554D43"/>
    <w:rsid w:val="00565017"/>
    <w:rsid w:val="005A2BDF"/>
    <w:rsid w:val="005D45AB"/>
    <w:rsid w:val="006938B7"/>
    <w:rsid w:val="006E10D2"/>
    <w:rsid w:val="007042A5"/>
    <w:rsid w:val="00705458"/>
    <w:rsid w:val="00710F41"/>
    <w:rsid w:val="00720588"/>
    <w:rsid w:val="007B32E7"/>
    <w:rsid w:val="007C36EC"/>
    <w:rsid w:val="00812202"/>
    <w:rsid w:val="008A3EFF"/>
    <w:rsid w:val="009F5695"/>
    <w:rsid w:val="00A03AB8"/>
    <w:rsid w:val="00A12C42"/>
    <w:rsid w:val="00AD6D9F"/>
    <w:rsid w:val="00AE4882"/>
    <w:rsid w:val="00B030A7"/>
    <w:rsid w:val="00B16225"/>
    <w:rsid w:val="00B357F2"/>
    <w:rsid w:val="00BF1C72"/>
    <w:rsid w:val="00C27DA1"/>
    <w:rsid w:val="00CA7F68"/>
    <w:rsid w:val="00CD73B4"/>
    <w:rsid w:val="00D63C89"/>
    <w:rsid w:val="00DB69FE"/>
    <w:rsid w:val="00E067A0"/>
    <w:rsid w:val="00E31E3B"/>
    <w:rsid w:val="00E65040"/>
    <w:rsid w:val="00E726CE"/>
    <w:rsid w:val="00F16C60"/>
    <w:rsid w:val="00F50356"/>
    <w:rsid w:val="00F71E17"/>
    <w:rsid w:val="00F71EA5"/>
    <w:rsid w:val="00F90EAC"/>
    <w:rsid w:val="00F9364D"/>
    <w:rsid w:val="00F9683A"/>
    <w:rsid w:val="00FE5A6A"/>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text"/>
    <w:qFormat/>
    <w:rsid w:val="000D15C9"/>
    <w:pPr>
      <w:spacing w:line="200" w:lineRule="exact"/>
      <w:ind w:firstLine="227"/>
      <w:jc w:val="both"/>
    </w:pPr>
    <w:rPr>
      <w:sz w:val="18"/>
      <w:lang w:val="en-US" w:eastAsia="nl-NL"/>
    </w:rPr>
  </w:style>
  <w:style w:type="paragraph" w:styleId="Ttulo1">
    <w:name w:val="heading 1"/>
    <w:aliases w:val="heading 1"/>
    <w:basedOn w:val="Normal"/>
    <w:next w:val="Firstparagraph"/>
    <w:qFormat/>
    <w:rsid w:val="00F9364D"/>
    <w:pPr>
      <w:keepNext/>
      <w:keepLines/>
      <w:numPr>
        <w:numId w:val="11"/>
      </w:numPr>
      <w:tabs>
        <w:tab w:val="clear" w:pos="0"/>
      </w:tabs>
      <w:suppressAutoHyphens/>
      <w:adjustRightInd w:val="0"/>
      <w:spacing w:before="400" w:after="200"/>
      <w:ind w:left="227" w:hanging="227"/>
      <w:jc w:val="left"/>
      <w:outlineLvl w:val="0"/>
    </w:pPr>
    <w:rPr>
      <w:caps/>
    </w:rPr>
  </w:style>
  <w:style w:type="paragraph" w:styleId="Ttulo2">
    <w:name w:val="heading 2"/>
    <w:aliases w:val="heading 2"/>
    <w:basedOn w:val="Ttulo1"/>
    <w:next w:val="Firstparagraph"/>
    <w:qFormat/>
    <w:rsid w:val="00CD73B4"/>
    <w:pPr>
      <w:numPr>
        <w:ilvl w:val="1"/>
      </w:numPr>
      <w:spacing w:before="200"/>
      <w:outlineLvl w:val="1"/>
    </w:pPr>
    <w:rPr>
      <w:i/>
      <w:caps w:val="0"/>
      <w:szCs w:val="18"/>
    </w:rPr>
  </w:style>
  <w:style w:type="paragraph" w:styleId="Ttulo3">
    <w:name w:val="heading 3"/>
    <w:aliases w:val="heading 3"/>
    <w:basedOn w:val="Normal"/>
    <w:next w:val="Normal"/>
    <w:qFormat/>
    <w:rsid w:val="00554D43"/>
    <w:pPr>
      <w:keepNext/>
      <w:keepLines/>
      <w:numPr>
        <w:ilvl w:val="2"/>
        <w:numId w:val="11"/>
      </w:numPr>
      <w:spacing w:before="200"/>
      <w:jc w:val="left"/>
      <w:outlineLvl w:val="2"/>
    </w:pPr>
    <w:rPr>
      <w:i/>
    </w:rPr>
  </w:style>
  <w:style w:type="paragraph" w:styleId="Ttulo4">
    <w:name w:val="heading 4"/>
    <w:aliases w:val="Not to be used"/>
    <w:basedOn w:val="Normal"/>
    <w:next w:val="Normal"/>
    <w:qFormat/>
    <w:rsid w:val="00554D43"/>
    <w:pPr>
      <w:keepNext/>
      <w:numPr>
        <w:ilvl w:val="3"/>
        <w:numId w:val="11"/>
      </w:numPr>
      <w:spacing w:before="260"/>
      <w:outlineLvl w:val="3"/>
    </w:pPr>
    <w:rPr>
      <w:rFonts w:ascii="Arial Unicode MS" w:eastAsia="Arial Unicode MS"/>
      <w:b/>
      <w:szCs w:val="18"/>
    </w:rPr>
  </w:style>
  <w:style w:type="paragraph" w:styleId="Ttulo5">
    <w:name w:val="heading 5"/>
    <w:basedOn w:val="Ttulo3"/>
    <w:next w:val="Normal"/>
    <w:qFormat/>
    <w:rsid w:val="00554D43"/>
    <w:pPr>
      <w:numPr>
        <w:ilvl w:val="4"/>
      </w:numPr>
      <w:outlineLvl w:val="4"/>
    </w:pPr>
  </w:style>
  <w:style w:type="paragraph" w:styleId="Ttulo6">
    <w:name w:val="heading 6"/>
    <w:basedOn w:val="Normal"/>
    <w:next w:val="Normal"/>
    <w:qFormat/>
    <w:rsid w:val="00554D43"/>
    <w:pPr>
      <w:numPr>
        <w:ilvl w:val="5"/>
        <w:numId w:val="11"/>
      </w:numPr>
      <w:spacing w:before="240" w:after="60"/>
      <w:outlineLvl w:val="5"/>
    </w:pPr>
    <w:rPr>
      <w:rFonts w:ascii="Arial" w:hAnsi="Arial"/>
      <w:i/>
      <w:sz w:val="22"/>
    </w:rPr>
  </w:style>
  <w:style w:type="paragraph" w:styleId="Ttulo7">
    <w:name w:val="heading 7"/>
    <w:basedOn w:val="Normal"/>
    <w:next w:val="Normal"/>
    <w:qFormat/>
    <w:rsid w:val="00554D43"/>
    <w:pPr>
      <w:numPr>
        <w:ilvl w:val="6"/>
        <w:numId w:val="11"/>
      </w:numPr>
      <w:spacing w:before="240" w:after="60"/>
      <w:outlineLvl w:val="6"/>
    </w:pPr>
    <w:rPr>
      <w:rFonts w:ascii="Arial" w:hAnsi="Arial"/>
      <w:sz w:val="20"/>
    </w:rPr>
  </w:style>
  <w:style w:type="paragraph" w:styleId="Ttulo8">
    <w:name w:val="heading 8"/>
    <w:basedOn w:val="Normal"/>
    <w:next w:val="Normal"/>
    <w:qFormat/>
    <w:rsid w:val="00554D43"/>
    <w:pPr>
      <w:numPr>
        <w:ilvl w:val="7"/>
        <w:numId w:val="11"/>
      </w:numPr>
      <w:spacing w:before="240" w:after="60"/>
      <w:outlineLvl w:val="7"/>
    </w:pPr>
    <w:rPr>
      <w:rFonts w:ascii="Arial" w:hAnsi="Arial"/>
      <w:i/>
      <w:sz w:val="20"/>
    </w:rPr>
  </w:style>
  <w:style w:type="paragraph" w:styleId="Ttulo9">
    <w:name w:val="heading 9"/>
    <w:basedOn w:val="Normal"/>
    <w:next w:val="Normal"/>
    <w:qFormat/>
    <w:rsid w:val="00554D43"/>
    <w:pPr>
      <w:numPr>
        <w:ilvl w:val="8"/>
        <w:numId w:val="11"/>
      </w:numPr>
      <w:spacing w:before="240" w:after="60"/>
      <w:outlineLvl w:val="8"/>
    </w:pPr>
    <w:rPr>
      <w:rFonts w:ascii="Arial" w:hAnsi="Arial"/>
      <w:i/>
    </w:rPr>
  </w:style>
  <w:style w:type="character" w:default="1" w:styleId="Fuentedeprrafopredeter">
    <w:name w:val="Default Paragraph Font"/>
    <w:semiHidden/>
  </w:style>
  <w:style w:type="table" w:default="1" w:styleId="Tablanormal">
    <w:name w:val="Normal Table"/>
    <w:semiHidden/>
    <w:tblPr>
      <w:tblInd w:w="0" w:type="dxa"/>
      <w:tblCellMar>
        <w:top w:w="0" w:type="dxa"/>
        <w:left w:w="108" w:type="dxa"/>
        <w:bottom w:w="0" w:type="dxa"/>
        <w:right w:w="108" w:type="dxa"/>
      </w:tblCellMar>
    </w:tblPr>
  </w:style>
  <w:style w:type="numbering" w:default="1" w:styleId="Sinlista">
    <w:name w:val="No List"/>
    <w:semiHidden/>
  </w:style>
  <w:style w:type="paragraph" w:customStyle="1" w:styleId="Firstparagraph">
    <w:name w:val="First paragraph"/>
    <w:basedOn w:val="Normal"/>
    <w:next w:val="Normal"/>
    <w:link w:val="FirstparagraphCar"/>
    <w:pPr>
      <w:ind w:firstLine="0"/>
    </w:pPr>
  </w:style>
  <w:style w:type="paragraph" w:customStyle="1" w:styleId="kop1">
    <w:name w:val="kop 1"/>
    <w:aliases w:val="heading without number"/>
    <w:basedOn w:val="Ttulo1"/>
    <w:next w:val="Firstparagraph"/>
    <w:autoRedefine/>
    <w:rsid w:val="00E726CE"/>
    <w:pPr>
      <w:numPr>
        <w:numId w:val="0"/>
      </w:numPr>
    </w:pPr>
  </w:style>
  <w:style w:type="paragraph" w:customStyle="1" w:styleId="Author">
    <w:name w:val="Author"/>
    <w:basedOn w:val="Firstparagraph"/>
    <w:next w:val="Affiliation"/>
    <w:rsid w:val="00AE4882"/>
    <w:pPr>
      <w:suppressAutoHyphens/>
      <w:spacing w:line="240" w:lineRule="exact"/>
      <w:jc w:val="center"/>
    </w:pPr>
    <w:rPr>
      <w:sz w:val="22"/>
    </w:rPr>
  </w:style>
  <w:style w:type="paragraph" w:customStyle="1" w:styleId="Affiliation">
    <w:name w:val="Affiliation"/>
    <w:basedOn w:val="Author"/>
    <w:next w:val="Author"/>
    <w:rsid w:val="000D15C9"/>
    <w:pPr>
      <w:spacing w:after="80" w:line="200" w:lineRule="exact"/>
    </w:pPr>
    <w:rPr>
      <w:i/>
      <w:sz w:val="18"/>
    </w:rPr>
  </w:style>
  <w:style w:type="character" w:customStyle="1" w:styleId="FirstparagraphCar">
    <w:name w:val="First paragraph Car"/>
    <w:basedOn w:val="Fuentedeprrafopredeter"/>
    <w:link w:val="Firstparagraph"/>
    <w:rsid w:val="001C0B79"/>
    <w:rPr>
      <w:sz w:val="18"/>
      <w:lang w:val="en-US" w:eastAsia="nl-NL" w:bidi="ar-SA"/>
    </w:rPr>
  </w:style>
  <w:style w:type="paragraph" w:styleId="Ttulo">
    <w:name w:val="Title"/>
    <w:basedOn w:val="Normal"/>
    <w:qFormat/>
    <w:rsid w:val="00FE5A6A"/>
    <w:pPr>
      <w:suppressAutoHyphens/>
      <w:spacing w:before="240" w:after="60" w:line="240" w:lineRule="exact"/>
      <w:ind w:firstLine="0"/>
      <w:jc w:val="center"/>
    </w:pPr>
    <w:rPr>
      <w:sz w:val="28"/>
    </w:rPr>
  </w:style>
  <w:style w:type="paragraph" w:customStyle="1" w:styleId="Referencetext">
    <w:name w:val="Reference text"/>
    <w:basedOn w:val="Smallsize"/>
    <w:pPr>
      <w:ind w:left="284" w:hanging="284"/>
    </w:pPr>
  </w:style>
  <w:style w:type="paragraph" w:customStyle="1" w:styleId="Smallsize">
    <w:name w:val="Small size"/>
    <w:basedOn w:val="Normal"/>
    <w:rsid w:val="00554D43"/>
    <w:pPr>
      <w:spacing w:line="180" w:lineRule="exact"/>
      <w:ind w:firstLine="0"/>
    </w:pPr>
    <w:rPr>
      <w:sz w:val="16"/>
    </w:rPr>
  </w:style>
  <w:style w:type="paragraph" w:customStyle="1" w:styleId="Figure">
    <w:name w:val="Figure"/>
    <w:basedOn w:val="Firstparagraph"/>
    <w:next w:val="Figurecaption"/>
    <w:pPr>
      <w:spacing w:line="240" w:lineRule="auto"/>
    </w:pPr>
  </w:style>
  <w:style w:type="paragraph" w:customStyle="1" w:styleId="Figurecaption">
    <w:name w:val="Figure caption"/>
    <w:basedOn w:val="Smallsize"/>
    <w:next w:val="Normal"/>
  </w:style>
  <w:style w:type="paragraph" w:customStyle="1" w:styleId="Formula">
    <w:name w:val="Formula"/>
    <w:basedOn w:val="Firstparagraph"/>
    <w:next w:val="Firstparagraph"/>
    <w:rsid w:val="00CD73B4"/>
    <w:pPr>
      <w:tabs>
        <w:tab w:val="right" w:pos="4649"/>
      </w:tabs>
      <w:spacing w:before="200" w:after="200" w:line="240" w:lineRule="auto"/>
      <w:jc w:val="left"/>
    </w:pPr>
  </w:style>
  <w:style w:type="paragraph" w:customStyle="1" w:styleId="AbstractResumetext">
    <w:name w:val="Abstract/Resume text"/>
    <w:basedOn w:val="Normal"/>
    <w:rsid w:val="004F5D47"/>
    <w:pPr>
      <w:ind w:firstLine="0"/>
    </w:pPr>
    <w:rPr>
      <w:szCs w:val="18"/>
    </w:rPr>
  </w:style>
  <w:style w:type="paragraph" w:customStyle="1" w:styleId="Tablecaption">
    <w:name w:val="Table caption"/>
    <w:basedOn w:val="Smallsize"/>
    <w:next w:val="Tablerule"/>
  </w:style>
  <w:style w:type="paragraph" w:customStyle="1" w:styleId="Tablerule">
    <w:name w:val="Table rule"/>
    <w:basedOn w:val="Smallsize"/>
    <w:next w:val="Tabletext"/>
    <w:pPr>
      <w:spacing w:after="40" w:line="40" w:lineRule="exact"/>
      <w:jc w:val="left"/>
    </w:pPr>
  </w:style>
  <w:style w:type="paragraph" w:customStyle="1" w:styleId="Tabletext">
    <w:name w:val="Table text"/>
    <w:basedOn w:val="Smallsize"/>
    <w:pPr>
      <w:jc w:val="left"/>
    </w:pPr>
  </w:style>
  <w:style w:type="paragraph" w:customStyle="1" w:styleId="Keywords">
    <w:name w:val="Keywords"/>
    <w:basedOn w:val="Normal"/>
    <w:next w:val="Normal"/>
    <w:autoRedefine/>
    <w:rsid w:val="00CD73B4"/>
    <w:pPr>
      <w:overflowPunct w:val="0"/>
      <w:autoSpaceDE w:val="0"/>
      <w:autoSpaceDN w:val="0"/>
      <w:adjustRightInd w:val="0"/>
      <w:spacing w:before="200" w:after="200"/>
      <w:ind w:firstLine="0"/>
      <w:textAlignment w:val="baseline"/>
    </w:pPr>
    <w:rPr>
      <w:sz w:val="20"/>
    </w:rPr>
  </w:style>
  <w:style w:type="paragraph" w:customStyle="1" w:styleId="FigurePhoto">
    <w:name w:val="Figure/Photo"/>
    <w:basedOn w:val="Firstparagraph"/>
    <w:next w:val="Figurecaption"/>
    <w:pPr>
      <w:spacing w:line="240" w:lineRule="auto"/>
    </w:pPr>
  </w:style>
  <w:style w:type="paragraph" w:customStyle="1" w:styleId="Titre">
    <w:name w:val="Titre"/>
    <w:basedOn w:val="Ttulo"/>
    <w:rsid w:val="00FE5A6A"/>
    <w:pPr>
      <w:spacing w:before="0" w:after="360" w:line="320" w:lineRule="exact"/>
    </w:pPr>
    <w:rPr>
      <w:sz w:val="24"/>
      <w:szCs w:val="24"/>
    </w:rPr>
  </w:style>
  <w:style w:type="paragraph" w:customStyle="1" w:styleId="abstractresumeheading">
    <w:name w:val="abstract/resume heading"/>
    <w:basedOn w:val="AbstractResumetext"/>
    <w:rsid w:val="004F5D47"/>
    <w:pPr>
      <w:spacing w:before="120"/>
      <w:jc w:val="center"/>
    </w:pPr>
    <w:rPr>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w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wmf"/><Relationship Id="rId12" Type="http://schemas.openxmlformats.org/officeDocument/2006/relationships/image" Target="media/image8.w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wmf"/><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image" Target="media/image7.wmf"/><Relationship Id="rId5" Type="http://schemas.openxmlformats.org/officeDocument/2006/relationships/image" Target="media/image1.wmf"/><Relationship Id="rId15" Type="http://schemas.openxmlformats.org/officeDocument/2006/relationships/image" Target="media/image11.wmf"/><Relationship Id="rId10" Type="http://schemas.openxmlformats.org/officeDocument/2006/relationships/image" Target="media/image6.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wm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kathy\LOCALS~1\Temp\Rar$DI81.0281\Template.A4%20size.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Template.A4 size.dot</Template>
  <TotalTime>1</TotalTime>
  <Pages>4</Pages>
  <Words>2374</Words>
  <Characters>13062</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two-column lay out Millpress</vt:lpstr>
    </vt:vector>
  </TitlesOfParts>
  <Manager>J.J. van Maanen</Manager>
  <Company>Millpress, Rotterdam</Company>
  <LinksUpToDate>false</LinksUpToDate>
  <CharactersWithSpaces>15406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two-column lay out Millpress</dc:title>
  <dc:subject>A4 size  paper</dc:subject>
  <dc:creator>kathy</dc:creator>
  <cp:lastModifiedBy>Geotecnia-R-Moffat</cp:lastModifiedBy>
  <cp:revision>2</cp:revision>
  <cp:lastPrinted>2009-03-10T13:18:00Z</cp:lastPrinted>
  <dcterms:created xsi:type="dcterms:W3CDTF">2011-10-20T02:40:00Z</dcterms:created>
  <dcterms:modified xsi:type="dcterms:W3CDTF">2011-10-20T02:40:00Z</dcterms:modified>
</cp:coreProperties>
</file>