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28" w:rsidRDefault="001F6728">
      <w:pPr>
        <w:jc w:val="both"/>
        <w:rPr>
          <w:rFonts w:ascii="UnitOT-Regular" w:hAnsi="UnitOT-Regular" w:cs="Arial"/>
          <w:sz w:val="20"/>
        </w:rPr>
      </w:pPr>
    </w:p>
    <w:p w:rsidR="001F6728" w:rsidRDefault="0060580C">
      <w:pPr>
        <w:jc w:val="both"/>
        <w:rPr>
          <w:rFonts w:ascii="UnitOT-Regular" w:hAnsi="UnitOT-Regular" w:cs="Arial"/>
          <w:sz w:val="20"/>
        </w:rPr>
      </w:pPr>
      <w:r>
        <w:rPr>
          <w:rFonts w:ascii="UnitOT-Regular" w:hAnsi="UnitOT-Regular" w:cs="Arial"/>
          <w:noProof/>
          <w:sz w:val="20"/>
          <w:lang w:val="es-CL" w:eastAsia="es-C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9525</wp:posOffset>
            </wp:positionV>
            <wp:extent cx="2400300" cy="528320"/>
            <wp:effectExtent l="0" t="0" r="0" b="5080"/>
            <wp:wrapSquare wrapText="bothSides"/>
            <wp:docPr id="2" name="Imagen 2" descr="01 - logo DII color -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 - logo DII color - O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6728" w:rsidRDefault="001F6728">
      <w:pPr>
        <w:tabs>
          <w:tab w:val="center" w:pos="4513"/>
        </w:tabs>
        <w:suppressAutoHyphens/>
        <w:jc w:val="both"/>
        <w:rPr>
          <w:rFonts w:ascii="UnitOT-Regular" w:hAnsi="UnitOT-Regular" w:cs="Arial"/>
          <w:b/>
          <w:spacing w:val="-3"/>
          <w:sz w:val="20"/>
          <w:lang w:val="es-ES_tradnl"/>
        </w:rPr>
      </w:pPr>
    </w:p>
    <w:p w:rsidR="005C14AA" w:rsidRDefault="005C14AA">
      <w:pPr>
        <w:tabs>
          <w:tab w:val="left" w:pos="-720"/>
        </w:tabs>
        <w:suppressAutoHyphens/>
        <w:jc w:val="center"/>
        <w:rPr>
          <w:rFonts w:ascii="UnitOT-Regular" w:hAnsi="UnitOT-Regular" w:cs="Arial"/>
          <w:b/>
          <w:spacing w:val="-3"/>
          <w:sz w:val="22"/>
          <w:szCs w:val="22"/>
          <w:lang w:val="es-ES_tradnl"/>
        </w:rPr>
      </w:pPr>
    </w:p>
    <w:p w:rsidR="005C14AA" w:rsidRDefault="005C14AA">
      <w:pPr>
        <w:tabs>
          <w:tab w:val="left" w:pos="-720"/>
        </w:tabs>
        <w:suppressAutoHyphens/>
        <w:jc w:val="center"/>
        <w:rPr>
          <w:rFonts w:ascii="UnitOT-Regular" w:hAnsi="UnitOT-Regular" w:cs="Arial"/>
          <w:b/>
          <w:spacing w:val="-3"/>
          <w:sz w:val="22"/>
          <w:szCs w:val="22"/>
          <w:lang w:val="es-ES_tradnl"/>
        </w:rPr>
      </w:pPr>
    </w:p>
    <w:p w:rsidR="00141A1B" w:rsidRPr="0060580C" w:rsidRDefault="00141A1B">
      <w:pPr>
        <w:tabs>
          <w:tab w:val="left" w:pos="-720"/>
        </w:tabs>
        <w:suppressAutoHyphens/>
        <w:jc w:val="center"/>
        <w:rPr>
          <w:rFonts w:ascii="UnitOT-Regular" w:hAnsi="UnitOT-Regular" w:cs="Arial"/>
          <w:b/>
          <w:spacing w:val="-3"/>
          <w:lang w:val="es-ES_tradnl"/>
        </w:rPr>
      </w:pPr>
    </w:p>
    <w:p w:rsidR="003B5E9C" w:rsidRDefault="00141A1B">
      <w:pPr>
        <w:tabs>
          <w:tab w:val="left" w:pos="-720"/>
        </w:tabs>
        <w:suppressAutoHyphens/>
        <w:jc w:val="center"/>
        <w:rPr>
          <w:rFonts w:ascii="UnitOT-Regular" w:hAnsi="UnitOT-Regular" w:cs="Arial"/>
          <w:b/>
          <w:spacing w:val="-3"/>
          <w:lang w:val="es-ES_tradnl"/>
        </w:rPr>
      </w:pPr>
      <w:r w:rsidRPr="0060580C">
        <w:rPr>
          <w:rFonts w:ascii="UnitOT-Regular" w:hAnsi="UnitOT-Regular" w:cs="Arial"/>
          <w:b/>
          <w:spacing w:val="-3"/>
          <w:lang w:val="es-ES_tradnl"/>
        </w:rPr>
        <w:t xml:space="preserve">DIPLOMADO EN </w:t>
      </w:r>
    </w:p>
    <w:p w:rsidR="00EF08BD" w:rsidRDefault="00EF08BD">
      <w:pPr>
        <w:tabs>
          <w:tab w:val="left" w:pos="-720"/>
        </w:tabs>
        <w:suppressAutoHyphens/>
        <w:jc w:val="center"/>
      </w:pPr>
      <w:bookmarkStart w:id="0" w:name="_GoBack"/>
      <w:bookmarkEnd w:id="0"/>
      <w:r w:rsidRPr="00EF08BD">
        <w:rPr>
          <w:rFonts w:ascii="UnitOT-Regular" w:hAnsi="UnitOT-Regular" w:cs="Arial"/>
          <w:b/>
          <w:spacing w:val="-3"/>
          <w:lang w:val="es-ES_tradnl"/>
        </w:rPr>
        <w:t>Gestión Estratégica del Abastecimiento</w:t>
      </w:r>
      <w:r>
        <w:t xml:space="preserve"> </w:t>
      </w:r>
    </w:p>
    <w:p w:rsidR="00E80BF0" w:rsidRPr="0060580C" w:rsidRDefault="00E80BF0">
      <w:pPr>
        <w:pStyle w:val="Ttulo1"/>
        <w:tabs>
          <w:tab w:val="clear" w:pos="4513"/>
          <w:tab w:val="left" w:pos="-720"/>
        </w:tabs>
        <w:rPr>
          <w:rFonts w:ascii="UnitOT-Regular" w:hAnsi="UnitOT-Regular" w:cs="Arial"/>
          <w:sz w:val="24"/>
        </w:rPr>
      </w:pPr>
    </w:p>
    <w:p w:rsidR="001F6728" w:rsidRPr="0060580C" w:rsidRDefault="00BA6416">
      <w:pPr>
        <w:pStyle w:val="Ttulo1"/>
        <w:tabs>
          <w:tab w:val="clear" w:pos="4513"/>
          <w:tab w:val="left" w:pos="-720"/>
        </w:tabs>
        <w:rPr>
          <w:rFonts w:ascii="UnitOT-Regular" w:hAnsi="UnitOT-Regular" w:cs="Arial"/>
          <w:sz w:val="24"/>
        </w:rPr>
      </w:pPr>
      <w:r>
        <w:rPr>
          <w:rFonts w:ascii="UnitOT-Regular" w:hAnsi="UnitOT-Regular" w:cs="Arial"/>
          <w:sz w:val="24"/>
        </w:rPr>
        <w:t>PROGRAMA DEL MÓDULO</w:t>
      </w:r>
    </w:p>
    <w:p w:rsidR="001F6728" w:rsidRDefault="001F6728">
      <w:pPr>
        <w:tabs>
          <w:tab w:val="left" w:pos="-720"/>
        </w:tabs>
        <w:suppressAutoHyphens/>
        <w:jc w:val="both"/>
        <w:rPr>
          <w:rFonts w:ascii="UnitOT-Regular" w:hAnsi="UnitOT-Regular" w:cs="Arial"/>
          <w:b/>
          <w:spacing w:val="-3"/>
          <w:sz w:val="12"/>
          <w:szCs w:val="12"/>
          <w:lang w:val="es-ES_tradnl"/>
        </w:rPr>
      </w:pPr>
    </w:p>
    <w:p w:rsidR="001F6728" w:rsidRDefault="002E66D7">
      <w:pPr>
        <w:tabs>
          <w:tab w:val="left" w:pos="-720"/>
        </w:tabs>
        <w:suppressAutoHyphens/>
        <w:jc w:val="both"/>
        <w:rPr>
          <w:rFonts w:ascii="UnitOT-Regular" w:hAnsi="UnitOT-Regular" w:cs="Arial"/>
          <w:b/>
          <w:spacing w:val="-3"/>
          <w:sz w:val="20"/>
          <w:lang w:val="es-ES_tradnl"/>
        </w:rPr>
      </w:pPr>
      <w:r>
        <w:rPr>
          <w:rFonts w:ascii="UnitOT-Regular" w:hAnsi="UnitOT-Regular" w:cs="Arial"/>
          <w:b/>
          <w:spacing w:val="-3"/>
          <w:sz w:val="20"/>
          <w:lang w:val="es-ES_tradnl"/>
        </w:rPr>
        <w:t>MODULO</w:t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  <w:t xml:space="preserve">: </w:t>
      </w:r>
      <w:r w:rsidR="00BA6416">
        <w:rPr>
          <w:rFonts w:ascii="UnitOT-Regular" w:hAnsi="UnitOT-Regular" w:cs="Arial"/>
          <w:b/>
          <w:spacing w:val="-3"/>
          <w:sz w:val="20"/>
          <w:lang w:val="es-ES_tradnl"/>
        </w:rPr>
        <w:tab/>
        <w:t>Gestión y Estrategias de Abastecimiento</w:t>
      </w:r>
      <w:r w:rsidR="001F6728">
        <w:rPr>
          <w:rFonts w:ascii="UnitOT-Regular" w:hAnsi="UnitOT-Regular" w:cs="Arial"/>
          <w:b/>
          <w:spacing w:val="-3"/>
          <w:sz w:val="20"/>
          <w:lang w:val="es-ES_tradnl"/>
        </w:rPr>
        <w:tab/>
      </w:r>
    </w:p>
    <w:p w:rsidR="002E66D7" w:rsidRDefault="002E66D7">
      <w:pPr>
        <w:tabs>
          <w:tab w:val="left" w:pos="-720"/>
        </w:tabs>
        <w:suppressAutoHyphens/>
        <w:jc w:val="both"/>
        <w:rPr>
          <w:rFonts w:ascii="UnitOT-Regular" w:hAnsi="UnitOT-Regular" w:cs="Arial"/>
          <w:b/>
          <w:spacing w:val="-3"/>
          <w:sz w:val="20"/>
          <w:lang w:val="es-ES_tradnl"/>
        </w:rPr>
      </w:pPr>
      <w:r>
        <w:rPr>
          <w:rFonts w:ascii="UnitOT-Regular" w:hAnsi="UnitOT-Regular" w:cs="Arial"/>
          <w:b/>
          <w:spacing w:val="-3"/>
          <w:sz w:val="20"/>
          <w:lang w:val="es-ES_tradnl"/>
        </w:rPr>
        <w:t>PROFESOR</w:t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>
        <w:rPr>
          <w:rFonts w:ascii="UnitOT-Regular" w:hAnsi="UnitOT-Regular" w:cs="Arial"/>
          <w:b/>
          <w:spacing w:val="-3"/>
          <w:sz w:val="20"/>
          <w:lang w:val="es-ES_tradnl"/>
        </w:rPr>
        <w:tab/>
        <w:t>:</w:t>
      </w:r>
      <w:r w:rsid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D0580A">
        <w:rPr>
          <w:rFonts w:ascii="UnitOT-Regular" w:hAnsi="UnitOT-Regular" w:cs="Arial"/>
          <w:b/>
          <w:spacing w:val="-3"/>
          <w:sz w:val="20"/>
          <w:lang w:val="es-ES_tradnl"/>
        </w:rPr>
        <w:t xml:space="preserve">Luis </w:t>
      </w:r>
      <w:proofErr w:type="spellStart"/>
      <w:r w:rsidR="00D0580A">
        <w:rPr>
          <w:rFonts w:ascii="UnitOT-Regular" w:hAnsi="UnitOT-Regular" w:cs="Arial"/>
          <w:b/>
          <w:spacing w:val="-3"/>
          <w:sz w:val="20"/>
          <w:lang w:val="es-ES_tradnl"/>
        </w:rPr>
        <w:t>Zaviezo</w:t>
      </w:r>
      <w:proofErr w:type="spellEnd"/>
      <w:r w:rsidR="00D0580A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D0580A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</w:p>
    <w:p w:rsidR="00141A1B" w:rsidRPr="00BA6416" w:rsidRDefault="00015EF6">
      <w:pPr>
        <w:tabs>
          <w:tab w:val="left" w:pos="-720"/>
        </w:tabs>
        <w:suppressAutoHyphens/>
        <w:jc w:val="both"/>
        <w:rPr>
          <w:rFonts w:ascii="UnitOT-Regular" w:hAnsi="UnitOT-Regular" w:cs="Arial"/>
          <w:b/>
          <w:spacing w:val="-3"/>
          <w:sz w:val="20"/>
          <w:lang w:val="es-ES_tradnl"/>
        </w:rPr>
      </w:pPr>
      <w:r w:rsidRPr="00BA6416">
        <w:rPr>
          <w:rFonts w:ascii="UnitOT-Regular" w:hAnsi="UnitOT-Regular" w:cs="Arial"/>
          <w:b/>
          <w:spacing w:val="-3"/>
          <w:sz w:val="20"/>
          <w:lang w:val="es-ES_tradnl"/>
        </w:rPr>
        <w:t>DURACIÓN</w:t>
      </w:r>
      <w:r w:rsidR="001F6728"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1F6728"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1F6728"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1F6728" w:rsidRPr="00BA6416">
        <w:rPr>
          <w:rFonts w:ascii="UnitOT-Regular" w:hAnsi="UnitOT-Regular" w:cs="Arial"/>
          <w:b/>
          <w:spacing w:val="-3"/>
          <w:sz w:val="20"/>
          <w:lang w:val="es-ES_tradnl"/>
        </w:rPr>
        <w:t>:</w:t>
      </w:r>
      <w:r w:rsidR="001F6728"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BA6416" w:rsidRPr="00BA6416">
        <w:rPr>
          <w:rFonts w:ascii="UnitOT-Regular" w:hAnsi="UnitOT-Regular" w:cs="Arial"/>
          <w:b/>
          <w:spacing w:val="-3"/>
          <w:sz w:val="20"/>
          <w:lang w:val="es-ES_tradnl"/>
        </w:rPr>
        <w:t>15 hrs.</w:t>
      </w:r>
    </w:p>
    <w:p w:rsidR="005A6FB1" w:rsidRPr="005A6FB1" w:rsidRDefault="00015EF6" w:rsidP="005A6FB1">
      <w:pPr>
        <w:tabs>
          <w:tab w:val="left" w:pos="-720"/>
        </w:tabs>
        <w:suppressAutoHyphens/>
        <w:jc w:val="both"/>
        <w:rPr>
          <w:rFonts w:ascii="UnitOT-Regular" w:hAnsi="UnitOT-Regular" w:cs="Arial"/>
          <w:spacing w:val="-3"/>
          <w:sz w:val="20"/>
          <w:lang w:val="es-ES_tradnl"/>
        </w:rPr>
      </w:pPr>
      <w:r w:rsidRPr="00BA6416">
        <w:rPr>
          <w:rFonts w:ascii="UnitOT-Regular" w:hAnsi="UnitOT-Regular" w:cs="Arial"/>
          <w:b/>
          <w:spacing w:val="-3"/>
          <w:sz w:val="20"/>
          <w:lang w:val="es-ES_tradnl"/>
        </w:rPr>
        <w:t>HORARIO</w:t>
      </w:r>
      <w:r w:rsidR="00BA6416" w:rsidRPr="00BA6416">
        <w:rPr>
          <w:rFonts w:ascii="UnitOT-Regular" w:hAnsi="UnitOT-Regular" w:cs="Arial"/>
          <w:b/>
          <w:spacing w:val="-3"/>
          <w:sz w:val="20"/>
          <w:lang w:val="es-ES_tradnl"/>
        </w:rPr>
        <w:t xml:space="preserve"> DE CLASES</w:t>
      </w:r>
      <w:r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BA6416"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BA6416"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5A6FB1" w:rsidRPr="00BA6416">
        <w:rPr>
          <w:rFonts w:ascii="UnitOT-Regular" w:hAnsi="UnitOT-Regular" w:cs="Arial"/>
          <w:b/>
          <w:spacing w:val="-3"/>
          <w:sz w:val="20"/>
          <w:lang w:val="es-ES_tradnl"/>
        </w:rPr>
        <w:t xml:space="preserve">: </w:t>
      </w:r>
      <w:r w:rsidR="005A6FB1" w:rsidRPr="00BA6416">
        <w:rPr>
          <w:rFonts w:ascii="UnitOT-Regular" w:hAnsi="UnitOT-Regular" w:cs="Arial"/>
          <w:b/>
          <w:spacing w:val="-3"/>
          <w:sz w:val="20"/>
          <w:lang w:val="es-ES_tradnl"/>
        </w:rPr>
        <w:tab/>
      </w:r>
      <w:r w:rsidR="00BA6416" w:rsidRPr="00BA6416">
        <w:rPr>
          <w:rFonts w:ascii="UnitOT-Regular" w:hAnsi="UnitOT-Regular" w:cs="Arial"/>
          <w:b/>
          <w:spacing w:val="-3"/>
          <w:sz w:val="20"/>
          <w:lang w:val="es-ES_tradnl"/>
        </w:rPr>
        <w:t>De</w:t>
      </w:r>
      <w:r w:rsidR="00BA6416">
        <w:rPr>
          <w:rFonts w:ascii="UnitOT-Regular" w:hAnsi="UnitOT-Regular" w:cs="Arial"/>
          <w:b/>
          <w:spacing w:val="-3"/>
          <w:sz w:val="20"/>
          <w:lang w:val="es-ES_tradnl"/>
        </w:rPr>
        <w:t xml:space="preserve"> 18:30 A 21:30 hrs.</w:t>
      </w:r>
    </w:p>
    <w:p w:rsidR="005A6FB1" w:rsidRDefault="005A6FB1" w:rsidP="005A6FB1">
      <w:pPr>
        <w:tabs>
          <w:tab w:val="left" w:pos="-720"/>
        </w:tabs>
        <w:suppressAutoHyphens/>
        <w:jc w:val="both"/>
        <w:rPr>
          <w:rFonts w:ascii="UnitOT-Regular" w:hAnsi="UnitOT-Regular" w:cs="Arial"/>
          <w:b/>
          <w:spacing w:val="-3"/>
          <w:sz w:val="20"/>
          <w:lang w:val="es-ES_tradnl"/>
        </w:rPr>
      </w:pPr>
    </w:p>
    <w:p w:rsidR="005A6FB1" w:rsidRDefault="005A6FB1">
      <w:pPr>
        <w:tabs>
          <w:tab w:val="left" w:pos="-720"/>
        </w:tabs>
        <w:suppressAutoHyphens/>
        <w:jc w:val="both"/>
        <w:rPr>
          <w:rFonts w:ascii="UnitOT-Regular" w:hAnsi="UnitOT-Regular" w:cs="Arial"/>
          <w:b/>
          <w:spacing w:val="-3"/>
          <w:sz w:val="20"/>
          <w:lang w:val="es-ES_tradnl"/>
        </w:rPr>
      </w:pPr>
    </w:p>
    <w:p w:rsidR="001F6728" w:rsidRDefault="001F6728">
      <w:pPr>
        <w:tabs>
          <w:tab w:val="left" w:pos="-720"/>
        </w:tabs>
        <w:suppressAutoHyphens/>
        <w:jc w:val="both"/>
        <w:rPr>
          <w:rFonts w:ascii="UnitOT-Regular" w:hAnsi="UnitOT-Regular" w:cs="Arial"/>
          <w:b/>
          <w:spacing w:val="-3"/>
          <w:sz w:val="20"/>
          <w:lang w:val="es-ES_tradnl"/>
        </w:rPr>
      </w:pPr>
    </w:p>
    <w:p w:rsidR="001F6728" w:rsidRDefault="001F6728">
      <w:pPr>
        <w:jc w:val="both"/>
        <w:rPr>
          <w:rFonts w:ascii="UnitOT-Regular" w:hAnsi="UnitOT-Regular" w:cs="Arial"/>
          <w:b/>
          <w:sz w:val="20"/>
        </w:rPr>
      </w:pPr>
      <w:r>
        <w:rPr>
          <w:rFonts w:ascii="UnitOT-Regular" w:hAnsi="UnitOT-Regular" w:cs="Arial"/>
          <w:b/>
          <w:sz w:val="20"/>
        </w:rPr>
        <w:t xml:space="preserve">1. DESCRIPCION DEL </w:t>
      </w:r>
      <w:r w:rsidR="00BA6416">
        <w:rPr>
          <w:rFonts w:ascii="UnitOT-Regular" w:hAnsi="UnitOT-Regular" w:cs="Arial"/>
          <w:b/>
          <w:sz w:val="20"/>
        </w:rPr>
        <w:t>MÓDULO</w:t>
      </w:r>
    </w:p>
    <w:p w:rsidR="001F6728" w:rsidRDefault="001F6728">
      <w:pPr>
        <w:jc w:val="both"/>
        <w:rPr>
          <w:rFonts w:ascii="UnitOT-Regular" w:hAnsi="UnitOT-Regular" w:cs="Arial"/>
          <w:sz w:val="12"/>
          <w:szCs w:val="12"/>
        </w:rPr>
      </w:pPr>
    </w:p>
    <w:p w:rsidR="00BA6416" w:rsidRDefault="00BA6416" w:rsidP="00BA6416">
      <w:pPr>
        <w:pStyle w:val="Textoindependiente"/>
      </w:pPr>
      <w:r w:rsidRPr="000B22DF">
        <w:t xml:space="preserve">En este módulo se introduce la gestión de abastecimiento desde una visión de la empresa, su estrategia y su cadena de valor. Se desarrolla el concepto de </w:t>
      </w:r>
      <w:proofErr w:type="spellStart"/>
      <w:r w:rsidRPr="000B22DF">
        <w:t>Sourcing</w:t>
      </w:r>
      <w:proofErr w:type="spellEnd"/>
      <w:r w:rsidRPr="000B22DF">
        <w:t xml:space="preserve"> Estratégico, incluyendo a gestión de categorías y el enfoque de abastecimiento globalizado. Se analiza en forma práctica </w:t>
      </w:r>
      <w:r>
        <w:t xml:space="preserve">los modelos de TCO, el análisis de mercado así como </w:t>
      </w:r>
      <w:r w:rsidRPr="000B22DF">
        <w:t>las estrategias y modalidades de contratación.</w:t>
      </w:r>
    </w:p>
    <w:p w:rsidR="00055EC5" w:rsidRDefault="00055EC5">
      <w:pPr>
        <w:jc w:val="both"/>
        <w:rPr>
          <w:rFonts w:ascii="UnitOT-Regular" w:hAnsi="UnitOT-Regular" w:cs="Arial"/>
          <w:b/>
          <w:sz w:val="20"/>
        </w:rPr>
      </w:pPr>
    </w:p>
    <w:p w:rsidR="001F6728" w:rsidRPr="00F62467" w:rsidRDefault="00BA6416">
      <w:pPr>
        <w:jc w:val="both"/>
        <w:rPr>
          <w:rFonts w:ascii="UnitOT-Regular" w:hAnsi="UnitOT-Regular" w:cs="Arial"/>
          <w:sz w:val="20"/>
        </w:rPr>
      </w:pPr>
      <w:proofErr w:type="gramStart"/>
      <w:r w:rsidRPr="00F62467">
        <w:rPr>
          <w:rFonts w:ascii="UnitOT-Regular" w:hAnsi="UnitOT-Regular" w:cs="Arial"/>
          <w:sz w:val="20"/>
        </w:rPr>
        <w:t>2</w:t>
      </w:r>
      <w:r w:rsidR="00055EC5" w:rsidRPr="00F62467">
        <w:rPr>
          <w:rFonts w:ascii="UnitOT-Regular" w:hAnsi="UnitOT-Regular" w:cs="Arial"/>
          <w:sz w:val="20"/>
        </w:rPr>
        <w:t>.</w:t>
      </w:r>
      <w:r w:rsidR="001F6728" w:rsidRPr="00F62467">
        <w:rPr>
          <w:rFonts w:ascii="UnitOT-Regular" w:hAnsi="UnitOT-Regular" w:cs="Arial"/>
          <w:sz w:val="20"/>
        </w:rPr>
        <w:t>OBJETIVOS</w:t>
      </w:r>
      <w:proofErr w:type="gramEnd"/>
    </w:p>
    <w:p w:rsidR="0060580C" w:rsidRPr="00F62467" w:rsidRDefault="0060580C">
      <w:pPr>
        <w:jc w:val="both"/>
        <w:rPr>
          <w:rFonts w:ascii="UnitOT-Regular" w:hAnsi="UnitOT-Regular" w:cs="Arial"/>
          <w:sz w:val="20"/>
        </w:rPr>
      </w:pPr>
    </w:p>
    <w:p w:rsidR="001F6728" w:rsidRPr="00F62467" w:rsidRDefault="001F6728">
      <w:pPr>
        <w:jc w:val="both"/>
        <w:rPr>
          <w:rFonts w:ascii="UnitOT-Regular" w:hAnsi="UnitOT-Regular" w:cs="Arial"/>
          <w:sz w:val="12"/>
          <w:szCs w:val="12"/>
        </w:rPr>
      </w:pPr>
    </w:p>
    <w:p w:rsidR="001F6728" w:rsidRPr="00F62467" w:rsidRDefault="001F6728" w:rsidP="00AF4F7E">
      <w:pPr>
        <w:pStyle w:val="Prrafodelista"/>
        <w:numPr>
          <w:ilvl w:val="0"/>
          <w:numId w:val="11"/>
        </w:numPr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Generales:</w:t>
      </w:r>
      <w:r w:rsidR="00A35789" w:rsidRPr="00F62467">
        <w:rPr>
          <w:rFonts w:ascii="UnitOT-Regular" w:hAnsi="UnitOT-Regular" w:cs="Arial"/>
          <w:sz w:val="20"/>
        </w:rPr>
        <w:t xml:space="preserve"> Aportar a los profesionales, capacidades para comprender, dirigir y desarrollar una gestión avanzada de abastecimiento alineada con las exigencias de las empresas actuales en un contexto global.</w:t>
      </w:r>
    </w:p>
    <w:p w:rsidR="00AF4F7E" w:rsidRPr="00F62467" w:rsidRDefault="00AF4F7E" w:rsidP="00AF4F7E">
      <w:pPr>
        <w:pStyle w:val="Prrafodelista"/>
        <w:ind w:left="1429"/>
        <w:jc w:val="both"/>
        <w:rPr>
          <w:rFonts w:ascii="UnitOT-Regular" w:hAnsi="UnitOT-Regular" w:cs="Arial"/>
          <w:sz w:val="20"/>
        </w:rPr>
      </w:pPr>
    </w:p>
    <w:p w:rsidR="001F6728" w:rsidRPr="00F62467" w:rsidRDefault="001F6728" w:rsidP="00A35789">
      <w:pPr>
        <w:ind w:left="709"/>
        <w:jc w:val="both"/>
        <w:rPr>
          <w:rFonts w:ascii="UnitOT-Regular" w:hAnsi="UnitOT-Regular" w:cs="Arial"/>
          <w:sz w:val="12"/>
          <w:szCs w:val="12"/>
        </w:rPr>
      </w:pPr>
    </w:p>
    <w:p w:rsidR="001F6728" w:rsidRPr="00F62467" w:rsidRDefault="001F6728" w:rsidP="00A35789">
      <w:pPr>
        <w:numPr>
          <w:ilvl w:val="0"/>
          <w:numId w:val="3"/>
        </w:numPr>
        <w:tabs>
          <w:tab w:val="clear" w:pos="720"/>
        </w:tabs>
        <w:ind w:left="709" w:firstLine="0"/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Específicos:</w:t>
      </w:r>
    </w:p>
    <w:p w:rsidR="00AF4F7E" w:rsidRPr="00F62467" w:rsidRDefault="00AF4F7E" w:rsidP="00AF4F7E">
      <w:pPr>
        <w:ind w:left="709"/>
        <w:jc w:val="both"/>
        <w:rPr>
          <w:rFonts w:ascii="UnitOT-Regular" w:hAnsi="UnitOT-Regular" w:cs="Arial"/>
          <w:sz w:val="20"/>
        </w:rPr>
      </w:pPr>
    </w:p>
    <w:p w:rsidR="00AF4F7E" w:rsidRPr="00F62467" w:rsidRDefault="00AF4F7E" w:rsidP="00AF4F7E">
      <w:pPr>
        <w:numPr>
          <w:ilvl w:val="1"/>
          <w:numId w:val="3"/>
        </w:numPr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Captar la dimensión estratégica de</w:t>
      </w:r>
      <w:r w:rsidR="00F62467">
        <w:rPr>
          <w:rFonts w:ascii="UnitOT-Regular" w:hAnsi="UnitOT-Regular" w:cs="Arial"/>
          <w:sz w:val="20"/>
        </w:rPr>
        <w:t xml:space="preserve"> </w:t>
      </w:r>
      <w:r w:rsidRPr="00F62467">
        <w:rPr>
          <w:rFonts w:ascii="UnitOT-Regular" w:hAnsi="UnitOT-Regular" w:cs="Arial"/>
          <w:sz w:val="20"/>
        </w:rPr>
        <w:t>l</w:t>
      </w:r>
      <w:r w:rsidR="00F62467">
        <w:rPr>
          <w:rFonts w:ascii="UnitOT-Regular" w:hAnsi="UnitOT-Regular" w:cs="Arial"/>
          <w:sz w:val="20"/>
        </w:rPr>
        <w:t>os negocios y el rol del</w:t>
      </w:r>
      <w:r w:rsidRPr="00F62467">
        <w:rPr>
          <w:rFonts w:ascii="UnitOT-Regular" w:hAnsi="UnitOT-Regular" w:cs="Arial"/>
          <w:sz w:val="20"/>
        </w:rPr>
        <w:t xml:space="preserve"> abastecimiento como fuente de ventaja competitiva.</w:t>
      </w:r>
    </w:p>
    <w:p w:rsidR="00AF4F7E" w:rsidRPr="00F62467" w:rsidRDefault="00AF4F7E" w:rsidP="00AF4F7E">
      <w:pPr>
        <w:numPr>
          <w:ilvl w:val="1"/>
          <w:numId w:val="3"/>
        </w:numPr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Comprender la dinámica globalizada del abastecimiento actual.</w:t>
      </w:r>
    </w:p>
    <w:p w:rsidR="00AF4F7E" w:rsidRPr="00F62467" w:rsidRDefault="00AF4F7E" w:rsidP="00AF4F7E">
      <w:pPr>
        <w:numPr>
          <w:ilvl w:val="1"/>
          <w:numId w:val="3"/>
        </w:numPr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Distinguir las diferencias en los desafíos que existen entre los aspectos estratégicos y operacionales del abastecimiento, entendiendo como complementarlos adecuadamente.</w:t>
      </w:r>
    </w:p>
    <w:p w:rsidR="00AF4F7E" w:rsidRPr="00F62467" w:rsidRDefault="00AF4F7E" w:rsidP="00AF4F7E">
      <w:pPr>
        <w:numPr>
          <w:ilvl w:val="1"/>
          <w:numId w:val="3"/>
        </w:numPr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Revisar cómo interactúan los distintos procesos y ámbitos vinculados a una gestión de abastecimiento integral.</w:t>
      </w:r>
    </w:p>
    <w:p w:rsidR="00AF4F7E" w:rsidRPr="00F62467" w:rsidRDefault="00AF4F7E" w:rsidP="00AF4F7E">
      <w:pPr>
        <w:numPr>
          <w:ilvl w:val="1"/>
          <w:numId w:val="3"/>
        </w:numPr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Analizar el desarrollo y las opciones de las redes de negocio y las opciones de plataforma de colaboración.</w:t>
      </w:r>
    </w:p>
    <w:p w:rsidR="00B426B4" w:rsidRPr="00F62467" w:rsidRDefault="00B426B4" w:rsidP="00AF4F7E">
      <w:pPr>
        <w:numPr>
          <w:ilvl w:val="1"/>
          <w:numId w:val="3"/>
        </w:numPr>
        <w:jc w:val="both"/>
        <w:rPr>
          <w:rFonts w:ascii="UnitOT-Regular" w:hAnsi="UnitOT-Regular" w:cs="Arial"/>
          <w:sz w:val="20"/>
        </w:rPr>
      </w:pPr>
      <w:r w:rsidRPr="00F62467">
        <w:rPr>
          <w:rFonts w:ascii="UnitOT-Regular" w:hAnsi="UnitOT-Regular" w:cs="Arial"/>
          <w:sz w:val="20"/>
        </w:rPr>
        <w:t>Entender la dimensión ética del abastecimiento y la relación con transparencia de procesos e información.</w:t>
      </w:r>
    </w:p>
    <w:p w:rsidR="0060580C" w:rsidRPr="00F62467" w:rsidRDefault="0060580C" w:rsidP="00A35789">
      <w:pPr>
        <w:ind w:left="1417"/>
        <w:jc w:val="both"/>
        <w:rPr>
          <w:rFonts w:ascii="UnitOT-Regular" w:hAnsi="UnitOT-Regular" w:cs="Arial"/>
          <w:sz w:val="20"/>
        </w:rPr>
      </w:pPr>
    </w:p>
    <w:p w:rsidR="001F6728" w:rsidRDefault="001F6728">
      <w:pPr>
        <w:jc w:val="both"/>
        <w:rPr>
          <w:rFonts w:ascii="UnitOT-Regular" w:hAnsi="UnitOT-Regular" w:cs="Arial"/>
          <w:b/>
          <w:sz w:val="12"/>
          <w:szCs w:val="12"/>
        </w:rPr>
      </w:pPr>
    </w:p>
    <w:p w:rsidR="00595A20" w:rsidRDefault="00595A20">
      <w:pPr>
        <w:jc w:val="both"/>
        <w:rPr>
          <w:rFonts w:ascii="UnitOT-Regular" w:hAnsi="UnitOT-Regular" w:cs="Arial"/>
          <w:b/>
          <w:sz w:val="20"/>
        </w:rPr>
      </w:pPr>
    </w:p>
    <w:p w:rsidR="00595A20" w:rsidRDefault="00595A20">
      <w:pPr>
        <w:jc w:val="both"/>
        <w:rPr>
          <w:rFonts w:ascii="UnitOT-Regular" w:hAnsi="UnitOT-Regular" w:cs="Arial"/>
          <w:b/>
          <w:sz w:val="20"/>
        </w:rPr>
      </w:pPr>
    </w:p>
    <w:p w:rsidR="001F6728" w:rsidRDefault="00BA6416">
      <w:pPr>
        <w:jc w:val="both"/>
        <w:rPr>
          <w:rFonts w:ascii="UnitOT-Regular" w:hAnsi="UnitOT-Regular" w:cs="Arial"/>
          <w:b/>
          <w:sz w:val="20"/>
        </w:rPr>
      </w:pPr>
      <w:r>
        <w:rPr>
          <w:rFonts w:ascii="UnitOT-Regular" w:hAnsi="UnitOT-Regular" w:cs="Arial"/>
          <w:b/>
          <w:sz w:val="20"/>
        </w:rPr>
        <w:lastRenderedPageBreak/>
        <w:t>3</w:t>
      </w:r>
      <w:r w:rsidR="001F6728">
        <w:rPr>
          <w:rFonts w:ascii="UnitOT-Regular" w:hAnsi="UnitOT-Regular" w:cs="Arial"/>
          <w:b/>
          <w:sz w:val="20"/>
        </w:rPr>
        <w:t>. TEMARIO</w:t>
      </w:r>
      <w:r w:rsidR="00EC52C5">
        <w:rPr>
          <w:rFonts w:ascii="UnitOT-Regular" w:hAnsi="UnitOT-Regular" w:cs="Arial"/>
          <w:b/>
          <w:sz w:val="20"/>
        </w:rPr>
        <w:t xml:space="preserve"> O CONTENIDOS</w:t>
      </w:r>
    </w:p>
    <w:p w:rsidR="001F6728" w:rsidRDefault="001F6728">
      <w:pPr>
        <w:jc w:val="both"/>
        <w:rPr>
          <w:rFonts w:ascii="UnitOT-Regular" w:hAnsi="UnitOT-Regular" w:cs="Arial"/>
          <w:sz w:val="12"/>
          <w:szCs w:val="12"/>
        </w:rPr>
      </w:pPr>
    </w:p>
    <w:p w:rsidR="0060580C" w:rsidRDefault="0060580C">
      <w:pPr>
        <w:pStyle w:val="Textoindependiente"/>
        <w:rPr>
          <w:rFonts w:ascii="UnitOT-Regular" w:hAnsi="UnitOT-Regular"/>
        </w:rPr>
      </w:pPr>
    </w:p>
    <w:p w:rsidR="0060580C" w:rsidRDefault="0060580C">
      <w:pPr>
        <w:pStyle w:val="Textoindependiente"/>
        <w:rPr>
          <w:rFonts w:ascii="UnitOT-Regular" w:hAnsi="UnitOT-Regular"/>
        </w:rPr>
      </w:pPr>
      <w:r w:rsidRPr="00595A20">
        <w:rPr>
          <w:rFonts w:ascii="UnitOT-Regular" w:hAnsi="UnitOT-Regular"/>
        </w:rPr>
        <w:t>El programa aborda los siguient</w:t>
      </w:r>
      <w:r w:rsidR="00866C1B" w:rsidRPr="00595A20">
        <w:rPr>
          <w:rFonts w:ascii="UnitOT-Regular" w:hAnsi="UnitOT-Regular"/>
        </w:rPr>
        <w:t>es ámbitos temáticos</w:t>
      </w:r>
      <w:r w:rsidRPr="00595A20">
        <w:rPr>
          <w:rFonts w:ascii="UnitOT-Regular" w:hAnsi="UnitOT-Regular"/>
        </w:rPr>
        <w:t>:</w:t>
      </w:r>
    </w:p>
    <w:p w:rsidR="00CE7EF4" w:rsidRDefault="00CE7EF4">
      <w:pPr>
        <w:pStyle w:val="Textoindependiente"/>
        <w:rPr>
          <w:rFonts w:ascii="UnitOT-Regular" w:hAnsi="UnitOT-Regular"/>
        </w:rPr>
      </w:pPr>
    </w:p>
    <w:p w:rsidR="00595A20" w:rsidRPr="00595A20" w:rsidRDefault="00595A20" w:rsidP="00595A20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b/>
          <w:bCs/>
          <w:lang w:val="es-ES_tradnl"/>
        </w:rPr>
        <w:t>Módulo 1: Conceptos y fundamentos de la planificación estratégica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595A20" w:rsidRPr="00595A20" w:rsidRDefault="00595A20" w:rsidP="00595A20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Este módulo tiene por finalidad entregar conceptos básicos  sobre la planificación estratégica y los contenidos a desarrollar son: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 </w:t>
      </w:r>
    </w:p>
    <w:p w:rsidR="00595A20" w:rsidRPr="00595A20" w:rsidRDefault="00595A20" w:rsidP="00595A20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i. Introducción a la Planificación Estratégica y su relación con Abastecimiento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ab/>
        <w:t>a) Concepto de Planificación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ab/>
        <w:t>b) ¿Por qué desarrollar un Plan estratégico?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ab/>
        <w:t>c) ¿Por qué el abastecimiento es estratégico?</w:t>
      </w:r>
    </w:p>
    <w:p w:rsidR="00595A20" w:rsidRPr="00595A20" w:rsidRDefault="00595A20" w:rsidP="003A556F">
      <w:pPr>
        <w:pStyle w:val="Textoindependiente"/>
        <w:ind w:left="1418"/>
        <w:rPr>
          <w:rFonts w:ascii="UnitOT-Regular" w:hAnsi="UnitOT-Regular"/>
          <w:lang w:val="es-ES_tradnl"/>
        </w:rPr>
      </w:pP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 xml:space="preserve"> </w:t>
      </w:r>
      <w:proofErr w:type="spellStart"/>
      <w:r w:rsidRPr="00595A20">
        <w:rPr>
          <w:rFonts w:ascii="UnitOT-Regular" w:hAnsi="UnitOT-Regular"/>
          <w:lang w:val="es-ES_tradnl"/>
        </w:rPr>
        <w:t>ii</w:t>
      </w:r>
      <w:proofErr w:type="spellEnd"/>
      <w:r w:rsidRPr="00595A20">
        <w:rPr>
          <w:rFonts w:ascii="UnitOT-Regular" w:hAnsi="UnitOT-Regular"/>
          <w:lang w:val="es-ES_tradnl"/>
        </w:rPr>
        <w:t>. Planificación estratégica como instrumento de Gestión de Abastecimiento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ab/>
        <w:t xml:space="preserve"> 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b/>
          <w:bCs/>
          <w:lang w:val="es-ES_tradnl"/>
        </w:rPr>
        <w:t>Módulo 2: Metodologías y Herramientas para la formulación de un Plan estratégico</w:t>
      </w:r>
    </w:p>
    <w:p w:rsidR="003A556F" w:rsidRDefault="003A556F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Este módulo tiene por finalidad entregar las herramientas necesarias para generar un plan estratégico y describir paso a paso su proceso de construcción, implementación y seguimiento.</w:t>
      </w:r>
    </w:p>
    <w:p w:rsidR="003A556F" w:rsidRDefault="003A556F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•Proceso declarativo</w:t>
      </w:r>
    </w:p>
    <w:p w:rsidR="00595A20" w:rsidRPr="00595A20" w:rsidRDefault="00595A20" w:rsidP="003A556F">
      <w:pPr>
        <w:pStyle w:val="Textoindependiente"/>
        <w:ind w:left="709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–Distinciones lingüísticas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•Proceso analítico</w:t>
      </w:r>
    </w:p>
    <w:p w:rsidR="003A556F" w:rsidRDefault="00595A20" w:rsidP="003A556F">
      <w:pPr>
        <w:pStyle w:val="Textoindependiente"/>
        <w:ind w:left="709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–</w:t>
      </w:r>
      <w:r w:rsidR="003A556F">
        <w:rPr>
          <w:rFonts w:ascii="UnitOT-Regular" w:hAnsi="UnitOT-Regular"/>
          <w:lang w:val="es-ES_tradnl"/>
        </w:rPr>
        <w:t xml:space="preserve"> </w:t>
      </w:r>
      <w:r w:rsidRPr="00595A20">
        <w:rPr>
          <w:rFonts w:ascii="UnitOT-Regular" w:hAnsi="UnitOT-Regular"/>
          <w:lang w:val="es-ES_tradnl"/>
        </w:rPr>
        <w:t>Análisis externo</w:t>
      </w:r>
    </w:p>
    <w:p w:rsidR="00595A20" w:rsidRPr="00595A20" w:rsidRDefault="00595A20" w:rsidP="003A556F">
      <w:pPr>
        <w:pStyle w:val="Textoindependiente"/>
        <w:ind w:left="709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–</w:t>
      </w:r>
      <w:r w:rsidR="003A556F">
        <w:rPr>
          <w:rFonts w:ascii="UnitOT-Regular" w:hAnsi="UnitOT-Regular"/>
          <w:lang w:val="es-ES_tradnl"/>
        </w:rPr>
        <w:t xml:space="preserve"> </w:t>
      </w:r>
      <w:r w:rsidRPr="00595A20">
        <w:rPr>
          <w:rFonts w:ascii="UnitOT-Regular" w:hAnsi="UnitOT-Regular"/>
          <w:lang w:val="es-ES_tradnl"/>
        </w:rPr>
        <w:t>Análisis interno</w:t>
      </w:r>
    </w:p>
    <w:p w:rsidR="00595A20" w:rsidRPr="00595A20" w:rsidRDefault="00595A20" w:rsidP="003A556F">
      <w:pPr>
        <w:pStyle w:val="Textoindependiente"/>
        <w:ind w:firstLine="709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–</w:t>
      </w:r>
      <w:r w:rsidR="003A556F">
        <w:rPr>
          <w:rFonts w:ascii="UnitOT-Regular" w:hAnsi="UnitOT-Regular"/>
          <w:lang w:val="es-ES_tradnl"/>
        </w:rPr>
        <w:t xml:space="preserve"> </w:t>
      </w:r>
      <w:r w:rsidRPr="00595A20">
        <w:rPr>
          <w:rFonts w:ascii="UnitOT-Regular" w:hAnsi="UnitOT-Regular"/>
          <w:lang w:val="es-ES_tradnl"/>
        </w:rPr>
        <w:t>Constelación de valor</w:t>
      </w:r>
    </w:p>
    <w:p w:rsidR="00595A20" w:rsidRPr="00595A20" w:rsidRDefault="003A556F" w:rsidP="003A556F">
      <w:pPr>
        <w:pStyle w:val="Textoindependiente"/>
        <w:ind w:left="709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–</w:t>
      </w:r>
      <w:r>
        <w:rPr>
          <w:rFonts w:ascii="UnitOT-Regular" w:hAnsi="UnitOT-Regular"/>
          <w:lang w:val="es-ES_tradnl"/>
        </w:rPr>
        <w:t xml:space="preserve"> </w:t>
      </w:r>
      <w:r w:rsidR="00595A20" w:rsidRPr="00595A20">
        <w:rPr>
          <w:rFonts w:ascii="UnitOT-Regular" w:hAnsi="UnitOT-Regular"/>
          <w:lang w:val="es-ES_tradnl"/>
        </w:rPr>
        <w:t>Enfoque de procesos operacionales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•Proceso de ejecución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•Proceso de control y compromisos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•Proceso de compensación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 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b/>
          <w:bCs/>
          <w:lang w:val="es-ES_tradnl"/>
        </w:rPr>
        <w:t>Módulo 3: Análisis del negocio de la Industria (análisis y aplicación modelos relevantes)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Este módulo tiene por finalidad entregar conceptos básicos  para analizar la industria en la que se desenvuelve la institución:</w:t>
      </w:r>
    </w:p>
    <w:p w:rsidR="003A556F" w:rsidRDefault="00595A20" w:rsidP="003A556F">
      <w:pPr>
        <w:pStyle w:val="Textoindependiente"/>
        <w:ind w:left="2127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b/>
          <w:bCs/>
          <w:lang w:val="es-ES_tradnl"/>
        </w:rPr>
        <w:t> 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•i. Modelo de negocio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</w:t>
      </w:r>
      <w:proofErr w:type="spellStart"/>
      <w:r w:rsidRPr="00595A20">
        <w:rPr>
          <w:rFonts w:ascii="UnitOT-Regular" w:hAnsi="UnitOT-Regular"/>
          <w:lang w:val="es-ES_tradnl"/>
        </w:rPr>
        <w:t>ii</w:t>
      </w:r>
      <w:proofErr w:type="spellEnd"/>
      <w:r w:rsidRPr="00595A20">
        <w:rPr>
          <w:rFonts w:ascii="UnitOT-Regular" w:hAnsi="UnitOT-Regular"/>
          <w:lang w:val="es-ES_tradnl"/>
        </w:rPr>
        <w:t>. Clientes y proveedores</w:t>
      </w:r>
    </w:p>
    <w:p w:rsidR="003A556F" w:rsidRDefault="003A556F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595A20" w:rsidRPr="00595A20" w:rsidRDefault="003A556F" w:rsidP="003A556F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b/>
          <w:bCs/>
          <w:lang w:val="es-ES_tradnl"/>
        </w:rPr>
        <w:t>Módulo 4</w:t>
      </w:r>
      <w:r w:rsidR="00595A20" w:rsidRPr="00595A20">
        <w:rPr>
          <w:rFonts w:ascii="UnitOT-Regular" w:hAnsi="UnitOT-Regular"/>
          <w:b/>
          <w:bCs/>
          <w:lang w:val="es-ES_tradnl"/>
        </w:rPr>
        <w:t>: Cuadro de Mando Integral y aplicación de mapas estratégicos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Este módulo tiene por finalidad desarrollar las herramientas de Cuadro de Mando Integral y mapas estratégicos.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b/>
          <w:bCs/>
          <w:lang w:val="es-ES_tradnl"/>
        </w:rPr>
        <w:t> 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 xml:space="preserve">•Conceptos de </w:t>
      </w:r>
      <w:proofErr w:type="spellStart"/>
      <w:r w:rsidRPr="00595A20">
        <w:rPr>
          <w:rFonts w:ascii="UnitOT-Regular" w:hAnsi="UnitOT-Regular"/>
          <w:lang w:val="es-ES_tradnl"/>
        </w:rPr>
        <w:t>Balanced</w:t>
      </w:r>
      <w:proofErr w:type="spellEnd"/>
      <w:r w:rsidRPr="00595A20">
        <w:rPr>
          <w:rFonts w:ascii="UnitOT-Regular" w:hAnsi="UnitOT-Regular"/>
          <w:lang w:val="es-ES_tradnl"/>
        </w:rPr>
        <w:t xml:space="preserve"> </w:t>
      </w:r>
      <w:proofErr w:type="spellStart"/>
      <w:r w:rsidRPr="00595A20">
        <w:rPr>
          <w:rFonts w:ascii="UnitOT-Regular" w:hAnsi="UnitOT-Regular"/>
          <w:lang w:val="es-ES_tradnl"/>
        </w:rPr>
        <w:t>Scorecard</w:t>
      </w:r>
      <w:proofErr w:type="spellEnd"/>
      <w:r w:rsidRPr="00595A20">
        <w:rPr>
          <w:rFonts w:ascii="UnitOT-Regular" w:hAnsi="UnitOT-Regular"/>
          <w:lang w:val="es-ES_tradnl"/>
        </w:rPr>
        <w:t>: Cuadro de Mando Integral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•Mapa estratégico y Cuadro de Mando Integral</w:t>
      </w:r>
    </w:p>
    <w:p w:rsidR="003A556F" w:rsidRDefault="003A556F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057E96" w:rsidRDefault="00057E96" w:rsidP="003A556F">
      <w:pPr>
        <w:pStyle w:val="Textoindependiente"/>
        <w:rPr>
          <w:rFonts w:ascii="UnitOT-Regular" w:hAnsi="UnitOT-Regular"/>
          <w:b/>
          <w:bCs/>
          <w:lang w:val="es-ES_tradnl"/>
        </w:rPr>
      </w:pPr>
    </w:p>
    <w:p w:rsidR="00595A20" w:rsidRPr="00595A20" w:rsidRDefault="003A556F" w:rsidP="003A556F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b/>
          <w:bCs/>
          <w:lang w:val="es-ES_tradnl"/>
        </w:rPr>
        <w:lastRenderedPageBreak/>
        <w:t>Módulo 5</w:t>
      </w:r>
      <w:r w:rsidR="00595A20" w:rsidRPr="00595A20">
        <w:rPr>
          <w:rFonts w:ascii="UnitOT-Regular" w:hAnsi="UnitOT-Regular"/>
          <w:b/>
          <w:bCs/>
          <w:lang w:val="es-ES_tradnl"/>
        </w:rPr>
        <w:t>: Conceptos generales de estrategia funcional  y su aplicación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b/>
          <w:bCs/>
          <w:lang w:val="es-ES_tradnl"/>
        </w:rPr>
        <w:t> 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•Definición de la estrategia funcional</w:t>
      </w:r>
      <w:r w:rsidR="003A556F">
        <w:rPr>
          <w:rFonts w:ascii="UnitOT-Regular" w:hAnsi="UnitOT-Regular"/>
          <w:lang w:val="es-ES_tradnl"/>
        </w:rPr>
        <w:t xml:space="preserve"> de abastecimiento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•Objetivo de la estrategia funcional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•Componentes de la estrategia funcional</w:t>
      </w:r>
    </w:p>
    <w:p w:rsidR="00595A20" w:rsidRPr="00595A20" w:rsidRDefault="00595A20" w:rsidP="003A556F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•Revisión y análisis de la estrategia funcional de la institución</w:t>
      </w:r>
    </w:p>
    <w:p w:rsidR="00595A20" w:rsidRPr="00595A20" w:rsidRDefault="00595A20" w:rsidP="00595A20">
      <w:pPr>
        <w:pStyle w:val="Textoindependiente"/>
        <w:ind w:left="2127"/>
        <w:rPr>
          <w:rFonts w:ascii="UnitOT-Regular" w:hAnsi="UnitOT-Regular"/>
          <w:lang w:val="es-ES_tradnl"/>
        </w:rPr>
      </w:pPr>
    </w:p>
    <w:p w:rsidR="00B426B4" w:rsidRPr="005C0298" w:rsidRDefault="00B426B4" w:rsidP="005C0298">
      <w:pPr>
        <w:pStyle w:val="Textoindependiente"/>
        <w:ind w:left="2127"/>
        <w:rPr>
          <w:rFonts w:ascii="UnitOT-Regular" w:hAnsi="UnitOT-Regular"/>
        </w:rPr>
      </w:pPr>
    </w:p>
    <w:p w:rsidR="001F6728" w:rsidRDefault="001F6728">
      <w:pPr>
        <w:jc w:val="both"/>
        <w:rPr>
          <w:rFonts w:ascii="UnitOT-Regular" w:hAnsi="UnitOT-Regular" w:cs="Arial"/>
          <w:b/>
          <w:sz w:val="12"/>
          <w:szCs w:val="12"/>
        </w:rPr>
      </w:pPr>
    </w:p>
    <w:p w:rsidR="00246525" w:rsidRDefault="00246525" w:rsidP="00246525">
      <w:pPr>
        <w:pStyle w:val="Textoindependiente"/>
        <w:rPr>
          <w:rFonts w:ascii="UnitOT-Regular" w:hAnsi="UnitOT-Regular"/>
          <w:b/>
          <w:bCs/>
          <w:lang w:val="es-ES_tradnl"/>
        </w:rPr>
      </w:pPr>
      <w:r>
        <w:rPr>
          <w:rFonts w:ascii="UnitOT-Regular" w:hAnsi="UnitOT-Regular"/>
          <w:b/>
          <w:bCs/>
          <w:lang w:val="es-ES_tradnl"/>
        </w:rPr>
        <w:t>Módulo 6</w:t>
      </w:r>
      <w:r w:rsidRPr="00595A20">
        <w:rPr>
          <w:rFonts w:ascii="UnitOT-Regular" w:hAnsi="UnitOT-Regular"/>
          <w:b/>
          <w:bCs/>
          <w:lang w:val="es-ES_tradnl"/>
        </w:rPr>
        <w:t xml:space="preserve">: </w:t>
      </w:r>
      <w:r>
        <w:rPr>
          <w:rFonts w:ascii="UnitOT-Regular" w:hAnsi="UnitOT-Regular"/>
          <w:b/>
          <w:bCs/>
          <w:lang w:val="es-ES_tradnl"/>
        </w:rPr>
        <w:t>Modelo de negocios y gestión estratégica de abastecimiento</w:t>
      </w:r>
    </w:p>
    <w:p w:rsidR="00246525" w:rsidRPr="00595A20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b/>
          <w:bCs/>
          <w:lang w:val="es-ES_tradnl"/>
        </w:rPr>
        <w:t> 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 w:rsidRPr="00595A20">
        <w:rPr>
          <w:rFonts w:ascii="UnitOT-Regular" w:hAnsi="UnitOT-Regular"/>
          <w:lang w:val="es-ES_tradnl"/>
        </w:rPr>
        <w:t>•</w:t>
      </w:r>
      <w:r>
        <w:rPr>
          <w:rFonts w:ascii="UnitOT-Regular" w:hAnsi="UnitOT-Regular"/>
          <w:lang w:val="es-ES_tradnl"/>
        </w:rPr>
        <w:t xml:space="preserve"> Modelos de negocios dominantes en las industrias relevantes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lang w:val="es-ES_tradnl"/>
        </w:rPr>
        <w:t>Estrategias de abastecimiento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lang w:val="es-ES_tradnl"/>
        </w:rPr>
        <w:t>TCO para diversas industrias, casos de estudio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lang w:val="es-ES_tradnl"/>
        </w:rPr>
        <w:t>Ciclo de vida y gestión de abastecimiento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lang w:val="es-ES_tradnl"/>
        </w:rPr>
        <w:t>Contratos MARC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lang w:val="es-ES_tradnl"/>
        </w:rPr>
        <w:t>EPCM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  <w:r>
        <w:rPr>
          <w:rFonts w:ascii="UnitOT-Regular" w:hAnsi="UnitOT-Regular"/>
          <w:lang w:val="es-ES_tradnl"/>
        </w:rPr>
        <w:t>EPCMO</w:t>
      </w:r>
    </w:p>
    <w:p w:rsid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</w:p>
    <w:p w:rsidR="00246525" w:rsidRDefault="00246525" w:rsidP="00246525">
      <w:pPr>
        <w:pStyle w:val="Textoindependiente"/>
        <w:rPr>
          <w:rFonts w:ascii="UnitOT-Regular" w:hAnsi="UnitOT-Regular"/>
          <w:b/>
          <w:lang w:val="es-ES_tradnl"/>
        </w:rPr>
      </w:pPr>
      <w:r w:rsidRPr="00246525">
        <w:rPr>
          <w:rFonts w:ascii="UnitOT-Regular" w:hAnsi="UnitOT-Regular"/>
          <w:b/>
          <w:lang w:val="es-ES_tradnl"/>
        </w:rPr>
        <w:t>Módulo 7</w:t>
      </w:r>
      <w:proofErr w:type="gramStart"/>
      <w:r>
        <w:rPr>
          <w:rFonts w:ascii="UnitOT-Regular" w:hAnsi="UnitOT-Regular"/>
          <w:b/>
          <w:lang w:val="es-ES_tradnl"/>
        </w:rPr>
        <w:t>:  Agregación</w:t>
      </w:r>
      <w:proofErr w:type="gramEnd"/>
      <w:r>
        <w:rPr>
          <w:rFonts w:ascii="UnitOT-Regular" w:hAnsi="UnitOT-Regular"/>
          <w:b/>
          <w:lang w:val="es-ES_tradnl"/>
        </w:rPr>
        <w:t xml:space="preserve"> de valor como caso aplicado en la industria local.</w:t>
      </w:r>
    </w:p>
    <w:p w:rsidR="00246525" w:rsidRPr="00246525" w:rsidRDefault="00246525" w:rsidP="00246525">
      <w:pPr>
        <w:pStyle w:val="Textoindependiente"/>
        <w:rPr>
          <w:rFonts w:ascii="UnitOT-Regular" w:hAnsi="UnitOT-Regular"/>
          <w:b/>
          <w:lang w:val="es-ES_tradnl"/>
        </w:rPr>
      </w:pPr>
    </w:p>
    <w:p w:rsidR="00246525" w:rsidRPr="00246525" w:rsidRDefault="00246525" w:rsidP="00246525">
      <w:pPr>
        <w:pStyle w:val="Textoindependiente"/>
        <w:rPr>
          <w:rFonts w:ascii="UnitOT-Regular" w:hAnsi="UnitOT-Regular"/>
          <w:lang w:val="es-ES_tradnl"/>
        </w:rPr>
      </w:pPr>
    </w:p>
    <w:p w:rsidR="001F6728" w:rsidRDefault="00BA6416">
      <w:pPr>
        <w:jc w:val="both"/>
        <w:rPr>
          <w:rFonts w:ascii="UnitOT-Regular" w:hAnsi="UnitOT-Regular" w:cs="Arial"/>
          <w:b/>
          <w:sz w:val="20"/>
        </w:rPr>
      </w:pPr>
      <w:r>
        <w:rPr>
          <w:rFonts w:ascii="UnitOT-Regular" w:hAnsi="UnitOT-Regular" w:cs="Arial"/>
          <w:b/>
          <w:sz w:val="20"/>
        </w:rPr>
        <w:t>4</w:t>
      </w:r>
      <w:r w:rsidR="001F6728">
        <w:rPr>
          <w:rFonts w:ascii="UnitOT-Regular" w:hAnsi="UnitOT-Regular" w:cs="Arial"/>
          <w:b/>
          <w:sz w:val="20"/>
        </w:rPr>
        <w:t>. METODOLOGIA</w:t>
      </w:r>
    </w:p>
    <w:p w:rsidR="001F6728" w:rsidRDefault="001F6728">
      <w:pPr>
        <w:jc w:val="both"/>
        <w:rPr>
          <w:rFonts w:ascii="UnitOT-Regular" w:hAnsi="UnitOT-Regular" w:cs="Arial"/>
          <w:sz w:val="12"/>
          <w:szCs w:val="12"/>
        </w:rPr>
      </w:pPr>
    </w:p>
    <w:p w:rsidR="00AF4F7E" w:rsidRDefault="00BA6416">
      <w:pPr>
        <w:jc w:val="both"/>
        <w:rPr>
          <w:rFonts w:ascii="UnitOT-Regular" w:hAnsi="UnitOT-Regular" w:cs="Arial"/>
          <w:sz w:val="20"/>
        </w:rPr>
      </w:pPr>
      <w:r>
        <w:rPr>
          <w:rFonts w:ascii="UnitOT-Regular" w:hAnsi="UnitOT-Regular" w:cs="Arial"/>
          <w:sz w:val="20"/>
        </w:rPr>
        <w:t>El enfoque del módulo</w:t>
      </w:r>
      <w:r w:rsidR="00AF4F7E">
        <w:rPr>
          <w:rFonts w:ascii="UnitOT-Regular" w:hAnsi="UnitOT-Regular" w:cs="Arial"/>
          <w:sz w:val="20"/>
        </w:rPr>
        <w:t xml:space="preserve"> es aplicado y ello se verá reflejado en la metodología de trabajo. </w:t>
      </w:r>
      <w:r>
        <w:rPr>
          <w:rFonts w:ascii="UnitOT-Regular" w:hAnsi="UnitOT-Regular" w:cs="Arial"/>
          <w:sz w:val="20"/>
        </w:rPr>
        <w:t xml:space="preserve">Esta metodología podrá considerar: </w:t>
      </w:r>
    </w:p>
    <w:p w:rsidR="00AF4F7E" w:rsidRDefault="00AF4F7E">
      <w:pPr>
        <w:jc w:val="both"/>
        <w:rPr>
          <w:rFonts w:ascii="UnitOT-Regular" w:hAnsi="UnitOT-Regular" w:cs="Arial"/>
          <w:sz w:val="20"/>
        </w:rPr>
      </w:pPr>
    </w:p>
    <w:p w:rsidR="00AF4F7E" w:rsidRPr="00AF4F7E" w:rsidRDefault="00AF4F7E" w:rsidP="00AF4F7E">
      <w:pPr>
        <w:pStyle w:val="Prrafodelista"/>
        <w:numPr>
          <w:ilvl w:val="0"/>
          <w:numId w:val="10"/>
        </w:numPr>
        <w:jc w:val="both"/>
        <w:rPr>
          <w:rFonts w:ascii="UnitOT-Regular" w:hAnsi="UnitOT-Regular" w:cs="Arial"/>
          <w:sz w:val="20"/>
        </w:rPr>
      </w:pPr>
      <w:r w:rsidRPr="00AF4F7E">
        <w:rPr>
          <w:rFonts w:ascii="UnitOT-Regular" w:hAnsi="UnitOT-Regular" w:cs="Arial"/>
          <w:sz w:val="20"/>
        </w:rPr>
        <w:t xml:space="preserve">Clases </w:t>
      </w:r>
      <w:r w:rsidR="00BA6416">
        <w:rPr>
          <w:rFonts w:ascii="UnitOT-Regular" w:hAnsi="UnitOT-Regular" w:cs="Arial"/>
          <w:sz w:val="20"/>
        </w:rPr>
        <w:t>expositivas</w:t>
      </w:r>
    </w:p>
    <w:p w:rsidR="00AF4F7E" w:rsidRPr="00AF4F7E" w:rsidRDefault="00AF4F7E" w:rsidP="00AF4F7E">
      <w:pPr>
        <w:pStyle w:val="Prrafodelista"/>
        <w:numPr>
          <w:ilvl w:val="0"/>
          <w:numId w:val="10"/>
        </w:numPr>
        <w:jc w:val="both"/>
        <w:rPr>
          <w:rFonts w:ascii="UnitOT-Regular" w:hAnsi="UnitOT-Regular" w:cs="Arial"/>
          <w:sz w:val="20"/>
        </w:rPr>
      </w:pPr>
      <w:r w:rsidRPr="00AF4F7E">
        <w:rPr>
          <w:rFonts w:ascii="UnitOT-Regular" w:hAnsi="UnitOT-Regular" w:cs="Arial"/>
          <w:sz w:val="20"/>
        </w:rPr>
        <w:t xml:space="preserve">Lecturas de casos y </w:t>
      </w:r>
      <w:proofErr w:type="spellStart"/>
      <w:r w:rsidRPr="00AF4F7E">
        <w:rPr>
          <w:rFonts w:ascii="UnitOT-Regular" w:hAnsi="UnitOT-Regular" w:cs="Arial"/>
          <w:sz w:val="20"/>
        </w:rPr>
        <w:t>papers</w:t>
      </w:r>
      <w:proofErr w:type="spellEnd"/>
    </w:p>
    <w:p w:rsidR="00AF4F7E" w:rsidRDefault="00AF4F7E" w:rsidP="00AF4F7E">
      <w:pPr>
        <w:pStyle w:val="Prrafodelista"/>
        <w:numPr>
          <w:ilvl w:val="0"/>
          <w:numId w:val="10"/>
        </w:numPr>
        <w:jc w:val="both"/>
        <w:rPr>
          <w:rFonts w:ascii="UnitOT-Regular" w:hAnsi="UnitOT-Regular" w:cs="Arial"/>
          <w:sz w:val="20"/>
        </w:rPr>
      </w:pPr>
      <w:r w:rsidRPr="00AF4F7E">
        <w:rPr>
          <w:rFonts w:ascii="UnitOT-Regular" w:hAnsi="UnitOT-Regular" w:cs="Arial"/>
          <w:sz w:val="20"/>
        </w:rPr>
        <w:t xml:space="preserve">Desarrollo de proyectos </w:t>
      </w:r>
    </w:p>
    <w:p w:rsidR="00AF4F7E" w:rsidRDefault="00AF4F7E" w:rsidP="00AF4F7E">
      <w:pPr>
        <w:pStyle w:val="Prrafodelista"/>
        <w:numPr>
          <w:ilvl w:val="0"/>
          <w:numId w:val="10"/>
        </w:numPr>
        <w:jc w:val="both"/>
        <w:rPr>
          <w:rFonts w:ascii="UnitOT-Regular" w:hAnsi="UnitOT-Regular" w:cs="Arial"/>
          <w:sz w:val="20"/>
        </w:rPr>
      </w:pPr>
      <w:r w:rsidRPr="00AF4F7E">
        <w:rPr>
          <w:rFonts w:ascii="UnitOT-Regular" w:hAnsi="UnitOT-Regular" w:cs="Arial"/>
          <w:sz w:val="20"/>
        </w:rPr>
        <w:t>Dinámicas de grupo</w:t>
      </w:r>
    </w:p>
    <w:p w:rsidR="00AF4F7E" w:rsidRPr="00AF4F7E" w:rsidRDefault="00AF4F7E" w:rsidP="00AF4F7E">
      <w:pPr>
        <w:pStyle w:val="Prrafodelista"/>
        <w:numPr>
          <w:ilvl w:val="0"/>
          <w:numId w:val="10"/>
        </w:numPr>
        <w:jc w:val="both"/>
        <w:rPr>
          <w:rFonts w:ascii="UnitOT-Regular" w:hAnsi="UnitOT-Regular" w:cs="Arial"/>
          <w:sz w:val="20"/>
        </w:rPr>
      </w:pPr>
      <w:r>
        <w:rPr>
          <w:rFonts w:ascii="UnitOT-Regular" w:hAnsi="UnitOT-Regular" w:cs="Arial"/>
          <w:sz w:val="20"/>
        </w:rPr>
        <w:t>Foro en línea</w:t>
      </w:r>
    </w:p>
    <w:p w:rsidR="00AF4F7E" w:rsidRDefault="00AF4F7E">
      <w:pPr>
        <w:jc w:val="both"/>
        <w:rPr>
          <w:rFonts w:ascii="UnitOT-Regular" w:hAnsi="UnitOT-Regular" w:cs="Arial"/>
          <w:sz w:val="20"/>
        </w:rPr>
      </w:pPr>
    </w:p>
    <w:p w:rsidR="001F6728" w:rsidRDefault="001F6728">
      <w:pPr>
        <w:jc w:val="both"/>
        <w:rPr>
          <w:rFonts w:ascii="UnitOT-Regular" w:hAnsi="UnitOT-Regular" w:cs="Arial"/>
          <w:b/>
          <w:sz w:val="12"/>
          <w:szCs w:val="12"/>
        </w:rPr>
      </w:pPr>
    </w:p>
    <w:p w:rsidR="001F6728" w:rsidRDefault="00BA6416">
      <w:pPr>
        <w:jc w:val="both"/>
        <w:rPr>
          <w:rFonts w:ascii="UnitOT-Regular" w:hAnsi="UnitOT-Regular" w:cs="Arial"/>
          <w:b/>
          <w:sz w:val="20"/>
        </w:rPr>
      </w:pPr>
      <w:r>
        <w:rPr>
          <w:rFonts w:ascii="UnitOT-Regular" w:hAnsi="UnitOT-Regular" w:cs="Arial"/>
          <w:b/>
          <w:sz w:val="20"/>
        </w:rPr>
        <w:t>5</w:t>
      </w:r>
      <w:r w:rsidR="001F6728">
        <w:rPr>
          <w:rFonts w:ascii="UnitOT-Regular" w:hAnsi="UnitOT-Regular" w:cs="Arial"/>
          <w:b/>
          <w:sz w:val="20"/>
        </w:rPr>
        <w:t>. EVALUACION</w:t>
      </w:r>
    </w:p>
    <w:p w:rsidR="001F6728" w:rsidRDefault="001F6728">
      <w:pPr>
        <w:jc w:val="both"/>
        <w:rPr>
          <w:rFonts w:ascii="UnitOT-Regular" w:hAnsi="UnitOT-Regular" w:cs="Arial"/>
          <w:sz w:val="12"/>
          <w:szCs w:val="12"/>
        </w:rPr>
      </w:pPr>
    </w:p>
    <w:p w:rsidR="00BB7B29" w:rsidRPr="00BB7B29" w:rsidRDefault="00BB7B29">
      <w:pPr>
        <w:jc w:val="both"/>
        <w:rPr>
          <w:rFonts w:ascii="UnitOT-Regular" w:hAnsi="UnitOT-Regular" w:cs="Arial"/>
          <w:sz w:val="20"/>
        </w:rPr>
      </w:pPr>
      <w:r w:rsidRPr="00BB7B29">
        <w:rPr>
          <w:rFonts w:ascii="UnitOT-Regular" w:hAnsi="UnitOT-Regular" w:cs="Arial"/>
          <w:sz w:val="20"/>
        </w:rPr>
        <w:t>La evaluación del módulo</w:t>
      </w:r>
      <w:r w:rsidR="00BA6416">
        <w:rPr>
          <w:rFonts w:ascii="UnitOT-Regular" w:hAnsi="UnitOT-Regular" w:cs="Arial"/>
          <w:sz w:val="20"/>
        </w:rPr>
        <w:t xml:space="preserve"> se desarrollara a través de controles en</w:t>
      </w:r>
      <w:r w:rsidR="00246525">
        <w:rPr>
          <w:rFonts w:ascii="UnitOT-Regular" w:hAnsi="UnitOT-Regular" w:cs="Arial"/>
          <w:sz w:val="20"/>
        </w:rPr>
        <w:t xml:space="preserve"> clases con una ponderación de 3</w:t>
      </w:r>
      <w:r w:rsidR="00BA6416">
        <w:rPr>
          <w:rFonts w:ascii="UnitOT-Regular" w:hAnsi="UnitOT-Regular" w:cs="Arial"/>
          <w:sz w:val="20"/>
        </w:rPr>
        <w:t>0%, an</w:t>
      </w:r>
      <w:r w:rsidR="00246525">
        <w:rPr>
          <w:rFonts w:ascii="UnitOT-Regular" w:hAnsi="UnitOT-Regular" w:cs="Arial"/>
          <w:sz w:val="20"/>
        </w:rPr>
        <w:t>álisis de casos 3</w:t>
      </w:r>
      <w:r w:rsidR="00BA6416">
        <w:rPr>
          <w:rFonts w:ascii="UnitOT-Regular" w:hAnsi="UnitOT-Regular" w:cs="Arial"/>
          <w:sz w:val="20"/>
        </w:rPr>
        <w:t>0% y trabajo</w:t>
      </w:r>
      <w:r w:rsidR="00E754AB">
        <w:rPr>
          <w:rFonts w:ascii="UnitOT-Regular" w:hAnsi="UnitOT-Regular" w:cs="Arial"/>
          <w:sz w:val="20"/>
        </w:rPr>
        <w:t xml:space="preserve"> final 4</w:t>
      </w:r>
      <w:r w:rsidR="00BA6416">
        <w:rPr>
          <w:rFonts w:ascii="UnitOT-Regular" w:hAnsi="UnitOT-Regular" w:cs="Arial"/>
          <w:sz w:val="20"/>
        </w:rPr>
        <w:t>0%</w:t>
      </w:r>
      <w:r>
        <w:rPr>
          <w:rFonts w:ascii="UnitOT-Regular" w:hAnsi="UnitOT-Regular" w:cs="Arial"/>
          <w:sz w:val="20"/>
        </w:rPr>
        <w:t xml:space="preserve">. </w:t>
      </w:r>
    </w:p>
    <w:p w:rsidR="00BB7B29" w:rsidRDefault="00BB7B29">
      <w:pPr>
        <w:jc w:val="both"/>
        <w:rPr>
          <w:rFonts w:ascii="UnitOT-Regular" w:hAnsi="UnitOT-Regular" w:cs="Arial"/>
          <w:sz w:val="12"/>
          <w:szCs w:val="12"/>
        </w:rPr>
      </w:pPr>
    </w:p>
    <w:p w:rsidR="00F62015" w:rsidRDefault="00BA6416">
      <w:pPr>
        <w:jc w:val="both"/>
        <w:rPr>
          <w:rFonts w:ascii="UnitOT-Regular" w:hAnsi="UnitOT-Regular" w:cs="Arial"/>
          <w:b/>
          <w:sz w:val="20"/>
        </w:rPr>
      </w:pPr>
      <w:r w:rsidRPr="00BA6416">
        <w:rPr>
          <w:rFonts w:ascii="UnitOT-Regular" w:hAnsi="UnitOT-Regular" w:cs="Arial"/>
          <w:b/>
          <w:sz w:val="20"/>
        </w:rPr>
        <w:t>6. BIBLIOGRAFÍA</w:t>
      </w:r>
    </w:p>
    <w:p w:rsidR="00246525" w:rsidRDefault="00246525">
      <w:pPr>
        <w:jc w:val="both"/>
        <w:rPr>
          <w:rFonts w:ascii="UnitOT-Regular" w:hAnsi="UnitOT-Regular" w:cs="Arial"/>
          <w:b/>
          <w:sz w:val="20"/>
        </w:rPr>
      </w:pPr>
    </w:p>
    <w:p w:rsidR="00246525" w:rsidRDefault="00246525">
      <w:pPr>
        <w:jc w:val="both"/>
        <w:rPr>
          <w:rFonts w:ascii="UnitOT-Regular" w:hAnsi="UnitOT-Regular" w:cs="Arial"/>
          <w:b/>
          <w:sz w:val="20"/>
        </w:rPr>
      </w:pPr>
    </w:p>
    <w:p w:rsidR="00E754AB" w:rsidRPr="00BA6416" w:rsidRDefault="00246525">
      <w:pPr>
        <w:jc w:val="both"/>
        <w:rPr>
          <w:rFonts w:ascii="UnitOT-Regular" w:hAnsi="UnitOT-Regular" w:cs="Arial"/>
          <w:b/>
          <w:sz w:val="20"/>
        </w:rPr>
      </w:pPr>
      <w:proofErr w:type="spellStart"/>
      <w:r>
        <w:rPr>
          <w:rFonts w:ascii="UnitOT-Regular" w:hAnsi="UnitOT-Regular" w:cs="Arial"/>
          <w:b/>
          <w:sz w:val="20"/>
        </w:rPr>
        <w:t>Hitt</w:t>
      </w:r>
      <w:proofErr w:type="spellEnd"/>
      <w:r>
        <w:rPr>
          <w:rFonts w:ascii="UnitOT-Regular" w:hAnsi="UnitOT-Regular" w:cs="Arial"/>
          <w:b/>
          <w:sz w:val="20"/>
        </w:rPr>
        <w:t xml:space="preserve">, </w:t>
      </w:r>
      <w:proofErr w:type="spellStart"/>
      <w:r>
        <w:rPr>
          <w:rFonts w:ascii="UnitOT-Regular" w:hAnsi="UnitOT-Regular" w:cs="Arial"/>
          <w:b/>
          <w:sz w:val="20"/>
        </w:rPr>
        <w:t>Irelad</w:t>
      </w:r>
      <w:proofErr w:type="spellEnd"/>
      <w:r>
        <w:rPr>
          <w:rFonts w:ascii="UnitOT-Regular" w:hAnsi="UnitOT-Regular" w:cs="Arial"/>
          <w:b/>
          <w:sz w:val="20"/>
        </w:rPr>
        <w:t xml:space="preserve"> y </w:t>
      </w:r>
      <w:proofErr w:type="spellStart"/>
      <w:r>
        <w:rPr>
          <w:rFonts w:ascii="UnitOT-Regular" w:hAnsi="UnitOT-Regular" w:cs="Arial"/>
          <w:b/>
          <w:sz w:val="20"/>
        </w:rPr>
        <w:t>Hoskisson</w:t>
      </w:r>
      <w:proofErr w:type="spellEnd"/>
      <w:r>
        <w:rPr>
          <w:rFonts w:ascii="UnitOT-Regular" w:hAnsi="UnitOT-Regular" w:cs="Arial"/>
          <w:b/>
          <w:sz w:val="20"/>
        </w:rPr>
        <w:t xml:space="preserve">, </w:t>
      </w:r>
      <w:proofErr w:type="spellStart"/>
      <w:r>
        <w:rPr>
          <w:rFonts w:ascii="UnitOT-Regular" w:hAnsi="UnitOT-Regular" w:cs="Arial"/>
          <w:b/>
          <w:sz w:val="20"/>
        </w:rPr>
        <w:t>Strategic</w:t>
      </w:r>
      <w:proofErr w:type="spellEnd"/>
      <w:r>
        <w:rPr>
          <w:rFonts w:ascii="UnitOT-Regular" w:hAnsi="UnitOT-Regular" w:cs="Arial"/>
          <w:b/>
          <w:sz w:val="20"/>
        </w:rPr>
        <w:t xml:space="preserve"> Management, </w:t>
      </w:r>
      <w:proofErr w:type="spellStart"/>
      <w:r>
        <w:rPr>
          <w:rFonts w:ascii="UnitOT-Regular" w:hAnsi="UnitOT-Regular" w:cs="Arial"/>
          <w:b/>
          <w:sz w:val="20"/>
        </w:rPr>
        <w:t>Thomson</w:t>
      </w:r>
      <w:proofErr w:type="spellEnd"/>
      <w:r>
        <w:rPr>
          <w:rFonts w:ascii="UnitOT-Regular" w:hAnsi="UnitOT-Regular" w:cs="Arial"/>
          <w:b/>
          <w:sz w:val="20"/>
        </w:rPr>
        <w:t xml:space="preserve"> 2007</w:t>
      </w:r>
    </w:p>
    <w:sectPr w:rsidR="00E754AB" w:rsidRPr="00BA6416" w:rsidSect="00431CA9">
      <w:footerReference w:type="even" r:id="rId8"/>
      <w:footerReference w:type="default" r:id="rId9"/>
      <w:pgSz w:w="12240" w:h="15840" w:code="1"/>
      <w:pgMar w:top="1134" w:right="1134" w:bottom="53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E1" w:rsidRDefault="000562E1" w:rsidP="001F6728">
      <w:r>
        <w:separator/>
      </w:r>
    </w:p>
  </w:endnote>
  <w:endnote w:type="continuationSeparator" w:id="0">
    <w:p w:rsidR="000562E1" w:rsidRDefault="000562E1" w:rsidP="001F6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tOT-Regular">
    <w:panose1 w:val="00000000000000000000"/>
    <w:charset w:val="00"/>
    <w:family w:val="modern"/>
    <w:notTrueType/>
    <w:pitch w:val="variable"/>
    <w:sig w:usb0="800000AF" w:usb1="4000206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525" w:rsidRDefault="00756C3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4652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46525" w:rsidRDefault="00246525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525" w:rsidRDefault="00756C3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4652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57E96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246525" w:rsidRDefault="00246525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E1" w:rsidRDefault="000562E1" w:rsidP="001F6728">
      <w:r>
        <w:separator/>
      </w:r>
    </w:p>
  </w:footnote>
  <w:footnote w:type="continuationSeparator" w:id="0">
    <w:p w:rsidR="000562E1" w:rsidRDefault="000562E1" w:rsidP="001F67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84C"/>
    <w:multiLevelType w:val="hybridMultilevel"/>
    <w:tmpl w:val="917E0576"/>
    <w:lvl w:ilvl="0" w:tplc="2DA0B0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088178">
      <w:start w:val="136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4ED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047F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566C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76E2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F071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2AB4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7405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6E139A"/>
    <w:multiLevelType w:val="hybridMultilevel"/>
    <w:tmpl w:val="757CA0F6"/>
    <w:lvl w:ilvl="0" w:tplc="0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A115BE"/>
    <w:multiLevelType w:val="hybridMultilevel"/>
    <w:tmpl w:val="8BACB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476FF"/>
    <w:multiLevelType w:val="singleLevel"/>
    <w:tmpl w:val="A7C2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D23636A"/>
    <w:multiLevelType w:val="hybridMultilevel"/>
    <w:tmpl w:val="8EC21F3C"/>
    <w:lvl w:ilvl="0" w:tplc="C182491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229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EE23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C6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F411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787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E0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9485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22621"/>
    <w:multiLevelType w:val="hybridMultilevel"/>
    <w:tmpl w:val="72964EDA"/>
    <w:lvl w:ilvl="0" w:tplc="A2BA40C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549E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D878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247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80F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002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D23C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A21A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92A9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187AAD"/>
    <w:multiLevelType w:val="hybridMultilevel"/>
    <w:tmpl w:val="214011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BC7510"/>
    <w:multiLevelType w:val="hybridMultilevel"/>
    <w:tmpl w:val="617C48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97204"/>
    <w:multiLevelType w:val="hybridMultilevel"/>
    <w:tmpl w:val="1890BAA2"/>
    <w:lvl w:ilvl="0" w:tplc="FA8A2A3C">
      <w:start w:val="2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9320A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603E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64D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EA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2C6F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2E8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092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A70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9F1510"/>
    <w:multiLevelType w:val="hybridMultilevel"/>
    <w:tmpl w:val="086ECCCA"/>
    <w:lvl w:ilvl="0" w:tplc="1282690A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E57DD4"/>
    <w:multiLevelType w:val="hybridMultilevel"/>
    <w:tmpl w:val="156418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C18FA"/>
    <w:multiLevelType w:val="hybridMultilevel"/>
    <w:tmpl w:val="94F873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0"/>
  </w:num>
  <w:num w:numId="7">
    <w:abstractNumId w:val="6"/>
  </w:num>
  <w:num w:numId="8">
    <w:abstractNumId w:val="2"/>
  </w:num>
  <w:num w:numId="9">
    <w:abstractNumId w:val="11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EFF"/>
    <w:rsid w:val="00015EF6"/>
    <w:rsid w:val="00055EC5"/>
    <w:rsid w:val="000562E1"/>
    <w:rsid w:val="00057E96"/>
    <w:rsid w:val="00085C7E"/>
    <w:rsid w:val="000B22DF"/>
    <w:rsid w:val="000C3EED"/>
    <w:rsid w:val="00101B2D"/>
    <w:rsid w:val="00124BAA"/>
    <w:rsid w:val="00141A1B"/>
    <w:rsid w:val="001F6728"/>
    <w:rsid w:val="00211C2B"/>
    <w:rsid w:val="00246525"/>
    <w:rsid w:val="00261973"/>
    <w:rsid w:val="002E66D7"/>
    <w:rsid w:val="00350EFF"/>
    <w:rsid w:val="003770DC"/>
    <w:rsid w:val="003A556F"/>
    <w:rsid w:val="003B5E9C"/>
    <w:rsid w:val="003C0051"/>
    <w:rsid w:val="004050A1"/>
    <w:rsid w:val="00425F30"/>
    <w:rsid w:val="00431CA9"/>
    <w:rsid w:val="00474757"/>
    <w:rsid w:val="004939E6"/>
    <w:rsid w:val="004B3360"/>
    <w:rsid w:val="004E2B1C"/>
    <w:rsid w:val="004F1C92"/>
    <w:rsid w:val="004F2AC4"/>
    <w:rsid w:val="00526C3E"/>
    <w:rsid w:val="00575CC1"/>
    <w:rsid w:val="00586DC7"/>
    <w:rsid w:val="00595A20"/>
    <w:rsid w:val="005A6FB1"/>
    <w:rsid w:val="005B683F"/>
    <w:rsid w:val="005C0298"/>
    <w:rsid w:val="005C14AA"/>
    <w:rsid w:val="0060580C"/>
    <w:rsid w:val="00646E0A"/>
    <w:rsid w:val="006906BA"/>
    <w:rsid w:val="006C6BF4"/>
    <w:rsid w:val="00756C3E"/>
    <w:rsid w:val="00775B32"/>
    <w:rsid w:val="007865E0"/>
    <w:rsid w:val="007A3C04"/>
    <w:rsid w:val="00803DE7"/>
    <w:rsid w:val="00843C79"/>
    <w:rsid w:val="00860414"/>
    <w:rsid w:val="00866C1B"/>
    <w:rsid w:val="00872525"/>
    <w:rsid w:val="008B57C7"/>
    <w:rsid w:val="008C69F0"/>
    <w:rsid w:val="008C7E7B"/>
    <w:rsid w:val="00913CE0"/>
    <w:rsid w:val="00930E15"/>
    <w:rsid w:val="00933EEB"/>
    <w:rsid w:val="009A1EDD"/>
    <w:rsid w:val="009B0ED8"/>
    <w:rsid w:val="009E1E58"/>
    <w:rsid w:val="00A35789"/>
    <w:rsid w:val="00A615B9"/>
    <w:rsid w:val="00A7408A"/>
    <w:rsid w:val="00A844EF"/>
    <w:rsid w:val="00A952EE"/>
    <w:rsid w:val="00AE3B0F"/>
    <w:rsid w:val="00AF4F7E"/>
    <w:rsid w:val="00B426B4"/>
    <w:rsid w:val="00BA6416"/>
    <w:rsid w:val="00BB7B29"/>
    <w:rsid w:val="00BC0C54"/>
    <w:rsid w:val="00BE71CA"/>
    <w:rsid w:val="00C4392D"/>
    <w:rsid w:val="00C927F8"/>
    <w:rsid w:val="00CE74F8"/>
    <w:rsid w:val="00CE7EF4"/>
    <w:rsid w:val="00D0580A"/>
    <w:rsid w:val="00DB6C75"/>
    <w:rsid w:val="00DE2B60"/>
    <w:rsid w:val="00E32AD8"/>
    <w:rsid w:val="00E41F97"/>
    <w:rsid w:val="00E754AB"/>
    <w:rsid w:val="00E80BF0"/>
    <w:rsid w:val="00E82066"/>
    <w:rsid w:val="00EA62D9"/>
    <w:rsid w:val="00EA6F60"/>
    <w:rsid w:val="00EC3BFA"/>
    <w:rsid w:val="00EC52C5"/>
    <w:rsid w:val="00ED6122"/>
    <w:rsid w:val="00EF08BD"/>
    <w:rsid w:val="00F03BC6"/>
    <w:rsid w:val="00F06548"/>
    <w:rsid w:val="00F113A7"/>
    <w:rsid w:val="00F2276A"/>
    <w:rsid w:val="00F62015"/>
    <w:rsid w:val="00F62467"/>
    <w:rsid w:val="00F91CD8"/>
    <w:rsid w:val="00F94532"/>
    <w:rsid w:val="00FB6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B1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4E2B1C"/>
    <w:pPr>
      <w:keepNext/>
      <w:tabs>
        <w:tab w:val="center" w:pos="4513"/>
      </w:tabs>
      <w:suppressAutoHyphens/>
      <w:jc w:val="center"/>
      <w:outlineLvl w:val="0"/>
    </w:pPr>
    <w:rPr>
      <w:rFonts w:ascii="Arial" w:hAnsi="Arial"/>
      <w:b/>
      <w:spacing w:val="-3"/>
      <w:sz w:val="20"/>
      <w:lang w:val="es-ES_tradnl"/>
    </w:rPr>
  </w:style>
  <w:style w:type="paragraph" w:styleId="Ttulo2">
    <w:name w:val="heading 2"/>
    <w:basedOn w:val="Normal"/>
    <w:next w:val="Normal"/>
    <w:qFormat/>
    <w:rsid w:val="004E2B1C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4E2B1C"/>
    <w:pPr>
      <w:keepNext/>
      <w:suppressAutoHyphens/>
      <w:jc w:val="both"/>
      <w:outlineLvl w:val="2"/>
    </w:pPr>
    <w:rPr>
      <w:rFonts w:ascii="UnitOT-Regular" w:hAnsi="UnitOT-Regular" w:cs="Arial"/>
      <w:b/>
      <w:spacing w:val="-3"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4E2B1C"/>
    <w:pPr>
      <w:jc w:val="both"/>
    </w:pPr>
    <w:rPr>
      <w:rFonts w:ascii="Arial" w:hAnsi="Arial" w:cs="Arial"/>
      <w:sz w:val="20"/>
    </w:rPr>
  </w:style>
  <w:style w:type="paragraph" w:styleId="Piedepgina">
    <w:name w:val="footer"/>
    <w:basedOn w:val="Normal"/>
    <w:semiHidden/>
    <w:rsid w:val="004E2B1C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4E2B1C"/>
  </w:style>
  <w:style w:type="paragraph" w:styleId="Prrafodelista">
    <w:name w:val="List Paragraph"/>
    <w:basedOn w:val="Normal"/>
    <w:uiPriority w:val="34"/>
    <w:qFormat/>
    <w:rsid w:val="00575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tabs>
        <w:tab w:val="center" w:pos="4513"/>
      </w:tabs>
      <w:suppressAutoHyphens/>
      <w:jc w:val="center"/>
      <w:outlineLvl w:val="0"/>
    </w:pPr>
    <w:rPr>
      <w:rFonts w:ascii="Arial" w:hAnsi="Arial"/>
      <w:b/>
      <w:spacing w:val="-3"/>
      <w:sz w:val="20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suppressAutoHyphens/>
      <w:jc w:val="both"/>
      <w:outlineLvl w:val="2"/>
    </w:pPr>
    <w:rPr>
      <w:rFonts w:ascii="UnitOT-Regular" w:hAnsi="UnitOT-Regular" w:cs="Arial"/>
      <w:b/>
      <w:spacing w:val="-3"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 w:cs="Arial"/>
      <w:sz w:val="20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Prrafodelista">
    <w:name w:val="List Paragraph"/>
    <w:basedOn w:val="Normal"/>
    <w:uiPriority w:val="34"/>
    <w:qFormat/>
    <w:rsid w:val="00575C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1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05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66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1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91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9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50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8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7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491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6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77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7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6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9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9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5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02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2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3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9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1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82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3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6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26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43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4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01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52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34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72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45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7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6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1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0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1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8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9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9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64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9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27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79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313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840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10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04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90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37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</dc:creator>
  <cp:lastModifiedBy>..........</cp:lastModifiedBy>
  <cp:revision>3</cp:revision>
  <cp:lastPrinted>2011-06-30T19:28:00Z</cp:lastPrinted>
  <dcterms:created xsi:type="dcterms:W3CDTF">2011-10-24T19:15:00Z</dcterms:created>
  <dcterms:modified xsi:type="dcterms:W3CDTF">2011-10-24T19:47:00Z</dcterms:modified>
</cp:coreProperties>
</file>